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pStyle w:val="961"/>
        <w:ind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eastAsia="zh-CN"/>
        </w:rPr>
        <w:t xml:space="preserve">灌云县高新区高级中学实验室设备项目</w:t>
      </w:r>
      <w:r>
        <w:rPr>
          <w:rFonts w:hint="eastAsia" w:ascii="宋体" w:hAnsi="宋体" w:eastAsia="宋体" w:cs="宋体"/>
          <w:b/>
          <w:bCs/>
          <w:color w:val="auto"/>
          <w:sz w:val="44"/>
          <w:szCs w:val="44"/>
          <w:highlight w:val="none"/>
        </w:rPr>
        <w:t xml:space="preserve">（专门面向中小企业）</w:t>
      </w:r>
      <w:r/>
    </w:p>
    <w:p>
      <w:pPr>
        <w:pStyle w:val="961"/>
        <w:ind w:firstLine="0"/>
        <w:jc w:val="left"/>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r>
      <w:r/>
    </w:p>
    <w:p>
      <w:pPr>
        <w:pStyle w:val="961"/>
        <w:ind w:firstLine="0"/>
        <w:jc w:val="center"/>
        <w:rPr>
          <w:rFonts w:hint="eastAsia" w:ascii="宋体" w:hAnsi="宋体" w:eastAsia="宋体" w:cs="宋体"/>
          <w:b/>
          <w:bCs/>
          <w:color w:val="auto"/>
          <w:sz w:val="72"/>
          <w:szCs w:val="22"/>
          <w:highlight w:val="none"/>
        </w:rPr>
      </w:pPr>
      <w:r>
        <w:rPr>
          <w:rFonts w:hint="eastAsia" w:ascii="宋体" w:hAnsi="宋体" w:eastAsia="宋体" w:cs="宋体"/>
          <w:b/>
          <w:bCs/>
          <w:color w:val="auto"/>
          <w:sz w:val="72"/>
          <w:szCs w:val="22"/>
          <w:highlight w:val="none"/>
        </w:rPr>
        <w:t xml:space="preserve">招标文件</w:t>
      </w:r>
      <w:r/>
    </w:p>
    <w:p>
      <w:pPr>
        <w:pStyle w:val="961"/>
        <w:ind w:left="0"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32"/>
          <w:highlight w:val="none"/>
        </w:rPr>
        <w:t xml:space="preserve">项目编号：JSZC-320723-HRGJ-G2026-0011</w:t>
      </w:r>
      <w:r/>
    </w:p>
    <w:p>
      <w:pPr>
        <w:pStyle w:val="961"/>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1"/>
        <w:ind w:left="0" w:firstLine="0"/>
        <w:jc w:val="both"/>
        <w:rPr>
          <w:rFonts w:hint="eastAsia" w:ascii="宋体" w:hAnsi="宋体" w:eastAsia="宋体" w:cs="宋体"/>
          <w:b/>
          <w:bCs/>
          <w:color w:val="auto"/>
          <w:sz w:val="32"/>
          <w:highlight w:val="none"/>
        </w:rPr>
        <w:outlineLvl w:val="0"/>
      </w:pPr>
      <w:r/>
      <w:bookmarkStart w:id="0" w:name="_Toc7719"/>
      <w:r/>
      <w:bookmarkStart w:id="1" w:name="_Toc10532"/>
      <w:r/>
      <w:bookmarkStart w:id="2" w:name="_Toc13903"/>
      <w:r/>
      <w:bookmarkStart w:id="3" w:name="_Toc17408"/>
      <w:r/>
      <w:r/>
    </w:p>
    <w:p>
      <w:pPr>
        <w:pStyle w:val="961"/>
        <w:ind w:left="0" w:firstLine="1606"/>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jc w:val="both"/>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rPr>
      </w:r>
      <w:r/>
    </w:p>
    <w:p>
      <w:pPr>
        <w:pStyle w:val="961"/>
        <w:ind w:left="0" w:firstLine="1285"/>
        <w:jc w:val="both"/>
        <w:rPr>
          <w:rFonts w:hint="eastAsia" w:ascii="宋体" w:hAnsi="宋体" w:eastAsia="宋体" w:cs="宋体"/>
          <w:b/>
          <w:bCs/>
          <w:color w:val="auto"/>
          <w:sz w:val="32"/>
          <w:highlight w:val="none"/>
          <w:lang w:eastAsia="zh-CN"/>
        </w:rPr>
        <w:outlineLvl w:val="0"/>
      </w:pPr>
      <w:r>
        <w:rPr>
          <w:rFonts w:hint="eastAsia" w:ascii="宋体" w:hAnsi="宋体" w:eastAsia="宋体" w:cs="宋体"/>
          <w:b/>
          <w:bCs/>
          <w:color w:val="auto"/>
          <w:sz w:val="32"/>
          <w:highlight w:val="none"/>
          <w:lang w:val="en-US" w:eastAsia="zh-CN"/>
        </w:rPr>
        <w:t xml:space="preserve">采   购   </w:t>
      </w:r>
      <w:r>
        <w:rPr>
          <w:rFonts w:hint="eastAsia" w:ascii="宋体" w:hAnsi="宋体" w:eastAsia="宋体" w:cs="宋体"/>
          <w:b/>
          <w:bCs/>
          <w:color w:val="auto"/>
          <w:sz w:val="32"/>
          <w:highlight w:val="none"/>
        </w:rPr>
        <w:t xml:space="preserve">人：</w:t>
      </w:r>
      <w:bookmarkEnd w:id="0"/>
      <w:r/>
      <w:bookmarkEnd w:id="1"/>
      <w:r/>
      <w:bookmarkEnd w:id="2"/>
      <w:r/>
      <w:bookmarkEnd w:id="3"/>
      <w:r/>
      <w:bookmarkStart w:id="4" w:name="_Toc14767"/>
      <w:r/>
      <w:bookmarkStart w:id="5" w:name="_Toc17956"/>
      <w:r/>
      <w:bookmarkStart w:id="6" w:name="_Toc31270"/>
      <w:r/>
      <w:bookmarkStart w:id="7" w:name="_Toc25504"/>
      <w:r/>
      <w:bookmarkStart w:id="8" w:name="_Toc1689"/>
      <w:r/>
      <w:bookmarkStart w:id="9" w:name="_Toc1865"/>
      <w:r/>
      <w:bookmarkStart w:id="10" w:name="_Toc2460"/>
      <w:r/>
      <w:bookmarkStart w:id="11" w:name="_Toc931"/>
      <w:r>
        <w:rPr>
          <w:rFonts w:hint="eastAsia" w:ascii="宋体" w:hAnsi="宋体" w:eastAsia="宋体" w:cs="宋体"/>
          <w:b/>
          <w:bCs/>
          <w:color w:val="auto"/>
          <w:sz w:val="32"/>
          <w:highlight w:val="none"/>
          <w:lang w:eastAsia="zh-CN"/>
        </w:rPr>
        <w:t xml:space="preserve">灌云县教育局</w:t>
      </w:r>
      <w:r/>
    </w:p>
    <w:p>
      <w:pPr>
        <w:pStyle w:val="961"/>
        <w:jc w:val="center"/>
        <w:rPr>
          <w:rFonts w:hint="eastAsia" w:ascii="宋体" w:hAnsi="宋体" w:eastAsia="宋体" w:cs="宋体"/>
          <w:b/>
          <w:bCs/>
          <w:color w:val="auto"/>
          <w:sz w:val="32"/>
          <w:highlight w:val="none"/>
        </w:rPr>
        <w:outlineLvl w:val="0"/>
      </w:pPr>
      <w:r>
        <w:rPr>
          <w:rFonts w:hint="eastAsia" w:ascii="宋体" w:hAnsi="宋体" w:eastAsia="宋体" w:cs="宋体"/>
          <w:b/>
          <w:bCs/>
          <w:color w:val="auto"/>
          <w:sz w:val="32"/>
          <w:highlight w:val="none"/>
          <w:lang w:val="en-US" w:eastAsia="zh-CN"/>
        </w:rPr>
        <w:t xml:space="preserve">   采购</w:t>
      </w:r>
      <w:r>
        <w:rPr>
          <w:rFonts w:hint="eastAsia" w:ascii="宋体" w:hAnsi="宋体" w:eastAsia="宋体" w:cs="宋体"/>
          <w:b/>
          <w:bCs/>
          <w:color w:val="auto"/>
          <w:sz w:val="32"/>
          <w:highlight w:val="none"/>
        </w:rPr>
        <w:t xml:space="preserve">代理机构：</w:t>
      </w:r>
      <w:bookmarkEnd w:id="4"/>
      <w:r/>
      <w:bookmarkEnd w:id="5"/>
      <w:r/>
      <w:bookmarkEnd w:id="6"/>
      <w:r/>
      <w:bookmarkEnd w:id="7"/>
      <w:r/>
      <w:bookmarkEnd w:id="8"/>
      <w:r/>
      <w:bookmarkEnd w:id="9"/>
      <w:r/>
      <w:bookmarkEnd w:id="10"/>
      <w:r/>
      <w:bookmarkEnd w:id="11"/>
      <w:r>
        <w:rPr>
          <w:rFonts w:hint="eastAsia" w:ascii="宋体" w:hAnsi="宋体" w:eastAsia="宋体" w:cs="宋体"/>
          <w:b/>
          <w:bCs/>
          <w:color w:val="auto"/>
          <w:sz w:val="32"/>
          <w:highlight w:val="none"/>
        </w:rPr>
        <w:t xml:space="preserve">华瑞国际工程咨询集团有限公司</w:t>
      </w:r>
      <w:r/>
    </w:p>
    <w:p>
      <w:pPr>
        <w:pStyle w:val="961"/>
        <w:ind w:firstLine="0"/>
        <w:jc w:val="center"/>
        <w:rPr>
          <w:rFonts w:hint="eastAsia" w:ascii="宋体" w:hAnsi="宋体" w:eastAsia="宋体" w:cs="宋体"/>
          <w:b w:val="0"/>
          <w:color w:val="auto"/>
          <w:highlight w:val="none"/>
        </w:rPr>
      </w:pPr>
      <w:r>
        <w:rPr>
          <w:rFonts w:hint="eastAsia" w:ascii="宋体" w:hAnsi="宋体" w:eastAsia="宋体" w:cs="宋体"/>
          <w:b/>
          <w:bCs/>
          <w:color w:val="auto"/>
          <w:sz w:val="32"/>
          <w:highlight w:val="non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05</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投标邀请</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3</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6</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第三章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23</w:t>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第四章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44</w:t>
      </w:r>
      <w:r/>
    </w:p>
    <w:p>
      <w:pPr>
        <w:pStyle w:val="758"/>
        <w:ind w:left="0" w:right="0"/>
        <w:pageBreakBefore w:val="0"/>
        <w:spacing w:line="490" w:lineRule="exact"/>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_Toc155796360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207</w:t>
      </w:r>
      <w:r>
        <w:rPr>
          <w:rFonts w:hint="eastAsia" w:ascii="宋体" w:hAnsi="宋体" w:eastAsia="宋体" w:cs="宋体"/>
          <w:color w:val="auto"/>
          <w:sz w:val="32"/>
          <w:highlight w:val="none"/>
        </w:rPr>
        <w:fldChar w:fldCharType="end"/>
      </w:r>
      <w:r/>
    </w:p>
    <w:p>
      <w:pPr>
        <w:pStyle w:val="758"/>
        <w:ind w:left="0" w:right="0"/>
        <w:pageBreakBefore w:val="0"/>
        <w:spacing w:line="490" w:lineRule="exact"/>
        <w:tabs>
          <w:tab w:val="right" w:pos="8296" w:leader="dot"/>
        </w:tabs>
        <w:rPr>
          <w:rFonts w:hint="default" w:ascii="宋体" w:hAnsi="宋体" w:eastAsia="宋体" w:cs="宋体"/>
          <w:color w:val="auto"/>
          <w:sz w:val="32"/>
          <w:highlight w:val="none"/>
          <w:lang w:val="en-US" w:eastAsia="zh-CN"/>
        </w:rPr>
      </w:pPr>
      <w:r>
        <w:rPr>
          <w:rFonts w:hint="eastAsia" w:ascii="宋体" w:hAnsi="宋体" w:eastAsia="宋体" w:cs="宋体"/>
          <w:color w:val="auto"/>
          <w:sz w:val="32"/>
          <w:highlight w:val="none"/>
        </w:rPr>
        <w:t xml:space="preserve">第六章</w:t>
      </w:r>
      <w:r>
        <w:rPr>
          <w:rFonts w:hint="eastAsia" w:ascii="宋体" w:hAnsi="宋体" w:eastAsia="宋体" w:cs="宋体"/>
          <w:color w:val="auto"/>
          <w:sz w:val="32"/>
          <w:highlight w:val="none"/>
          <w:lang w:val="en-US" w:eastAsia="zh-CN"/>
        </w:rPr>
        <w:t xml:space="preserve"> </w:t>
      </w:r>
      <w:r>
        <w:rPr>
          <w:rFonts w:hint="eastAsia" w:ascii="宋体" w:hAnsi="宋体" w:eastAsia="宋体" w:cs="宋体"/>
          <w:color w:val="auto"/>
          <w:sz w:val="32"/>
          <w:highlight w:val="none"/>
        </w:rPr>
        <w:t xml:space="preserve">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211</w:t>
      </w:r>
      <w:r/>
    </w:p>
    <w:p>
      <w:pPr>
        <w:ind w:left="0" w:right="0"/>
        <w:jc w:val="left"/>
        <w:pageBreakBefore w:val="0"/>
        <w:spacing w:line="49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41" w:name="_GoBack"/>
      <w:r/>
      <w:bookmarkEnd w:id="41"/>
      <w:r/>
      <w:bookmarkStart w:id="12" w:name="_Toc155796356"/>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投标邀请</w:t>
      </w:r>
      <w:bookmarkEnd w:id="12"/>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灌云县教育局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华瑞国际工程咨询集团有限公司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JSZC-320723-HRGJ-G2026-0011</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投标人参与投标</w:t>
      </w:r>
      <w:r>
        <w:rPr>
          <w:rFonts w:hint="eastAsia" w:ascii="宋体" w:hAnsi="宋体" w:eastAsia="宋体" w:cs="宋体"/>
          <w:color w:val="auto"/>
          <w:sz w:val="24"/>
          <w:szCs w:val="24"/>
          <w:highlight w:val="none"/>
        </w:rPr>
        <w:t xml:space="preserve">。</w:t>
      </w:r>
      <w:r/>
    </w:p>
    <w:tbl>
      <w:tblPr>
        <w:tblStyle w:val="772"/>
        <w:tblW w:w="9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trHeight w:val="1564"/>
        </w:trPr>
        <w:tc>
          <w:tcPr>
            <w:tcW w:w="9174" w:type="dxa"/>
            <w:textDirection w:val="lrTb"/>
            <w:noWrap w:val="false"/>
          </w:tcPr>
          <w:p>
            <w:p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灌云县高新区高级中学实验室设备项目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color w:val="auto"/>
                <w:sz w:val="24"/>
                <w:szCs w:val="24"/>
                <w:highlight w:val="none"/>
              </w:rPr>
              <w:t xml:space="preserve">（北京时间）前递交（上传）投标文件。</w:t>
            </w:r>
            <w:r/>
          </w:p>
        </w:tc>
      </w:tr>
    </w:tbl>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一、</w:t>
      </w:r>
      <w:r>
        <w:rPr>
          <w:rFonts w:hint="eastAsia" w:ascii="宋体" w:hAnsi="宋体" w:eastAsia="宋体" w:cs="宋体"/>
          <w:b/>
          <w:bCs w:val="0"/>
          <w:color w:val="auto"/>
          <w:sz w:val="28"/>
          <w:szCs w:val="28"/>
          <w:highlight w:val="none"/>
        </w:rPr>
        <w:t xml:space="preserve">项目基本情况</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JSZC-320723-HRGJ-G2026-0011</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灌云县高新区高级中学实验室设备项目</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val="0"/>
          <w:bCs w:val="0"/>
          <w:color w:val="auto"/>
          <w:sz w:val="24"/>
          <w:szCs w:val="24"/>
          <w:highlight w:val="none"/>
          <w:lang w:val="en-US" w:eastAsia="zh-CN"/>
        </w:rPr>
        <w:t xml:space="preserve">7979566.30</w:t>
      </w:r>
      <w:r>
        <w:rPr>
          <w:rFonts w:hint="eastAsia" w:ascii="宋体" w:hAnsi="宋体" w:eastAsia="宋体" w:cs="宋体"/>
          <w:color w:val="auto"/>
          <w:sz w:val="24"/>
          <w:szCs w:val="24"/>
          <w:highlight w:val="none"/>
        </w:rPr>
        <w:t xml:space="preserve">元</w:t>
      </w:r>
      <w:r/>
    </w:p>
    <w:p>
      <w:pPr>
        <w:ind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本项目设定最高限价，最高限价为7979566.30元，投标报价超过最高限价的视为无效标。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详见第四章采购需求。</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联系，由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二、</w:t>
      </w:r>
      <w:r>
        <w:rPr>
          <w:rFonts w:hint="eastAsia" w:ascii="宋体" w:hAnsi="宋体" w:eastAsia="宋体" w:cs="宋体"/>
          <w:b/>
          <w:bCs w:val="0"/>
          <w:color w:val="auto"/>
          <w:sz w:val="28"/>
          <w:szCs w:val="28"/>
          <w:highlight w:val="none"/>
        </w:rPr>
        <w:t xml:space="preserve">申请人的资格要求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依法缴纳税收和社会保障资金的相关材料；</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i w:val="0"/>
          <w:color w:val="auto"/>
          <w:sz w:val="24"/>
          <w:szCs w:val="24"/>
          <w:highlight w:val="none"/>
          <w:u w:val="none"/>
        </w:rPr>
        <w:t xml:space="preserve">及证明材料</w:t>
      </w:r>
      <w:r>
        <w:rPr>
          <w:rFonts w:hint="eastAsia" w:ascii="宋体" w:hAnsi="宋体" w:eastAsia="宋体" w:cs="宋体"/>
          <w:color w:val="auto"/>
          <w:sz w:val="24"/>
          <w:szCs w:val="24"/>
          <w:highlight w:val="none"/>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参加政府采购活动前三年内在经营活动中没有重大违法记录的书面声明；</w:t>
      </w:r>
      <w:r/>
    </w:p>
    <w:p>
      <w:pPr>
        <w:ind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根据连财购〔2023〕4号文件精神，第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、3项可以提供《财务状况报告及税收、社会保障资金缴纳情况承诺函》，详见</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文件格式。</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p>
    <w:p>
      <w:pPr>
        <w:ind w:left="0" w:right="0" w:firstLine="480"/>
        <w:jc w:val="left"/>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rPr>
          <w:rFonts w:hint="eastAsia" w:ascii="宋体" w:hAnsi="宋体" w:eastAsia="宋体" w:cs="宋体"/>
          <w:b/>
          <w:bCs/>
          <w:strike w:val="0"/>
          <w:color w:val="auto"/>
          <w:sz w:val="24"/>
          <w:szCs w:val="24"/>
          <w:highlight w:val="none"/>
          <w:lang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在“信用中国”网站（www.creditchina.gov.cn）查询，不存在被列入失信被执行人、重大税收违法失信主体名单、政府采购严重违法失信行为记录名单及其他不符合《中华人民共和国政府采购法》第二十二条规定条件的信用记录情形。（投标文件中无需提供证明材料）</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2.单位负责人为同一人或者存在直接控股、管理关系的不同投标人，不得参加同一合同项下的政府采购活动。</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3.若投标人法定代表人参与投标，则仅需提供法定代表人身份证；若授权代理人参与投标，则需提供企业法人委托书、授权人身份证、被授权人身份证</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4.本项目不接受进口产品（进口产品是指通过中国海关报关验放进入中国境内且产自关境外的产品）投标，中标后不允许分包或转包。</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三、获取招标文件</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w:t>
      </w:r>
      <w:r>
        <w:rPr>
          <w:rFonts w:hint="eastAsia" w:ascii="宋体" w:hAnsi="宋体" w:eastAsia="宋体" w:cs="宋体"/>
          <w:color w:val="auto"/>
          <w:sz w:val="24"/>
          <w:szCs w:val="24"/>
          <w:highlight w:val="none"/>
          <w:lang w:val="en-US" w:eastAsia="zh-CN"/>
        </w:rPr>
        <w:t xml:space="preserve">5个工作日</w:t>
      </w:r>
      <w:r>
        <w:rPr>
          <w:rFonts w:hint="eastAsia" w:ascii="宋体" w:hAnsi="宋体" w:eastAsia="宋体" w:cs="宋体"/>
          <w:color w:val="auto"/>
          <w:sz w:val="24"/>
          <w:szCs w:val="24"/>
          <w:highlight w:val="none"/>
          <w:lang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方式：在“江苏政府采购网”自行免费下载招标文件。</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四、提交投标文件截止时间、开标时间和地点</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1.提交投标文件截止时间：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02</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10点</w:t>
      </w:r>
      <w:r>
        <w:rPr>
          <w:rFonts w:hint="eastAsia" w:ascii="宋体" w:hAnsi="宋体" w:eastAsia="宋体" w:cs="宋体"/>
          <w:color w:val="auto"/>
          <w:sz w:val="24"/>
          <w:szCs w:val="24"/>
          <w:highlight w:val="none"/>
          <w:u w:val="none"/>
        </w:rPr>
        <w:t xml:space="preserve">00</w:t>
      </w:r>
      <w:r>
        <w:rPr>
          <w:rFonts w:hint="eastAsia" w:ascii="宋体" w:hAnsi="宋体" w:eastAsia="宋体" w:cs="宋体"/>
          <w:color w:val="auto"/>
          <w:sz w:val="24"/>
          <w:szCs w:val="24"/>
          <w:highlight w:val="none"/>
          <w:u w:val="none"/>
          <w:lang w:eastAsia="zh-CN"/>
        </w:rPr>
        <w:t xml:space="preserve">分</w:t>
      </w:r>
      <w:r>
        <w:rPr>
          <w:rFonts w:hint="eastAsia" w:ascii="宋体" w:hAnsi="宋体" w:eastAsia="宋体" w:cs="宋体"/>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2.开标时间：同</w:t>
      </w:r>
      <w:r>
        <w:rPr>
          <w:rFonts w:hint="eastAsia" w:ascii="宋体" w:hAnsi="宋体" w:eastAsia="宋体" w:cs="宋体"/>
          <w:color w:val="auto"/>
          <w:sz w:val="24"/>
          <w:szCs w:val="24"/>
          <w:highlight w:val="none"/>
          <w:u w:val="none"/>
          <w:lang w:val="en-US" w:eastAsia="zh-CN"/>
        </w:rPr>
        <w:t xml:space="preserve">提交投标文件截止时间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开标地点：“苏采云”政府采购交易系统网上开标大厅</w:t>
      </w:r>
      <w:r>
        <w:rPr>
          <w:rFonts w:hint="eastAsia" w:ascii="宋体" w:hAnsi="宋体" w:eastAsia="宋体" w:cs="宋体"/>
          <w:color w:val="auto"/>
          <w:sz w:val="24"/>
          <w:szCs w:val="24"/>
          <w:highlight w:val="none"/>
          <w:lang w:eastAsia="zh-CN"/>
        </w:rPr>
        <w:t xml:space="preserve">。</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五、公告期限</w:t>
      </w:r>
      <w:r/>
    </w:p>
    <w:p>
      <w:pPr>
        <w:ind w:firstLine="48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color w:val="auto"/>
          <w:sz w:val="24"/>
          <w:szCs w:val="24"/>
          <w:highlight w:val="none"/>
        </w:rPr>
        <w:t xml:space="preserve">自本公告发布之日起5个工作日。</w:t>
      </w:r>
      <w:r/>
    </w:p>
    <w:p>
      <w:pPr>
        <w:ind w:firstLine="0"/>
        <w:jc w:val="left"/>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六、其他补充事宜</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2.本招标文件中标注★号的部分为实质性要求和条件，由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根据实际情况设置，投标人须逐条明确作出满足实质性要求和条件的响应，否则将按无效响应处理。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32"/>
        <w:ind w:left="0" w:right="0"/>
        <w:pageBreakBefore w:val="0"/>
        <w:spacing w:before="0" w:after="0"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七、对本次招标提出询问，请按以下方式联系</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灌云县教育局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地址：连云港</w:t>
      </w:r>
      <w:r>
        <w:rPr>
          <w:rFonts w:hint="eastAsia" w:ascii="宋体" w:hAnsi="宋体" w:eastAsia="宋体" w:cs="宋体"/>
          <w:color w:val="auto"/>
          <w:sz w:val="24"/>
          <w:szCs w:val="24"/>
          <w:highlight w:val="none"/>
          <w:lang w:eastAsia="zh-CN"/>
        </w:rPr>
        <w:t xml:space="preserve">市灌云县</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信息</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华瑞国际工程咨询集团有限公司</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地址：连云港市海州区海连东路9号商务大厦15楼</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朱工</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联系电话：15251212583</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谷主任</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0518-88822909</w:t>
      </w:r>
      <w:r/>
    </w:p>
    <w:p>
      <w:pPr>
        <w:ind w:left="0" w:right="0"/>
        <w:jc w:val="left"/>
        <w:pageBreakBefore w:val="0"/>
        <w:spacing w:line="490" w:lineRule="exact"/>
        <w:widowControl/>
        <w:rPr>
          <w:rFonts w:hint="eastAsia" w:ascii="宋体" w:hAnsi="宋体" w:eastAsia="宋体" w:cs="宋体"/>
          <w:bCs/>
          <w:color w:val="auto"/>
          <w:sz w:val="44"/>
          <w:szCs w:val="44"/>
          <w:highlight w:val="none"/>
        </w:rPr>
      </w:pPr>
      <w:r/>
      <w:bookmarkStart w:id="13" w:name="_Toc155796357"/>
      <w:r>
        <w:rPr>
          <w:rFonts w:hint="eastAsia" w:ascii="宋体" w:hAnsi="宋体" w:eastAsia="宋体" w:cs="宋体"/>
          <w:b/>
          <w:color w:val="auto"/>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3"/>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华瑞国际工程咨询集团有限公司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）在任何情况下均无义务和责任承担这些费用。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本项目的招标</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服务费按“苏招协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002《江苏省招标代理服务收费指导价》”标准</w:t>
      </w:r>
      <w:r>
        <w:rPr>
          <w:rFonts w:hint="eastAsia" w:ascii="宋体" w:hAnsi="宋体" w:eastAsia="宋体" w:cs="宋体"/>
          <w:color w:val="auto"/>
          <w:sz w:val="24"/>
          <w:szCs w:val="24"/>
          <w:highlight w:val="none"/>
          <w:lang w:val="en-US" w:eastAsia="zh-CN"/>
        </w:rPr>
        <w:t xml:space="preserve">收费的37%计取；由</w:t>
      </w:r>
      <w:r>
        <w:rPr>
          <w:rFonts w:hint="eastAsia" w:ascii="宋体" w:hAnsi="宋体" w:eastAsia="宋体" w:cs="宋体"/>
          <w:color w:val="auto"/>
          <w:sz w:val="24"/>
          <w:szCs w:val="24"/>
          <w:highlight w:val="none"/>
        </w:rPr>
        <w:t xml:space="preserve">中标人在领取中标通知书时一次性支付；投标单位须将此部分费用综合考虑在投标报价中，不得单列。</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可以对招标文件进行修改。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有权按照法定的要求推迟投标截止时间和开标时间。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对招标文件提出的实质性要求和条件作出响应是指投标人必须对招标文件中标明实质性要求和条件的技术参数等内容逐条作出满足原要求和条件的响应。</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33"/>
        <w:ind w:left="0" w:right="0" w:firstLine="562"/>
        <w:jc w:val="left"/>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（4）投标总价要求包含安装维保费用。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投标人应根据投标报价要求在投标分项报价表中列明各项投标单价、总价等，未全部列示的作无效响应处理。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及评委会联系。</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将组织评委会进行评标。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代表和有关技术、经济等方面的评审专家组成，且人员构成符合政府采购有关规定。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规定的评审程序、评审方法和评审标准进行独立评审并确定中标候选人。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、评审专家、</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均不得向投标人或与评标无关的其他人员透露。</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进行澄清、说明或者补正的，评委会将通过“苏采云”系统向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依据法律法规和招标文件的规定，对投标文件中的资格证明文件进行审查。资格审查的结论，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以书面形式向评委会进行反馈。</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在进行资格审查的同时，将在信用中国网站查询投标人的信用记录，以确定投标人是否具备投标资格，查询结果留存并归档。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的身份共同参与政府采购活动的，联合体成员中任何一方存在不良信用记录的，视同联合体存在不良信用记录。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left="0" w:right="-315"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26.7 异常低价投标审查</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（一）政府采购评审中出现下列情形之一的，评审委员会应当启动异常低价投标审查程序：</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1.投标报价低于全部通过符合性审查供应商投标报价平均值65%的，即投标报价&lt;全部通过符合性审查供应商投标报价平均值×65%；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2.投标报价低于通过符合性审查的次低报价供应商投标报价65%的，即投标报价&lt;通过符合性审查的次低报价供应商投标报价×65%；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3.投标报价低于采购项目最高限价65%的，即投标报价&lt;采购项目最高限价×65%；</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315"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 投标人在苏采云系统规定的时间内未成功解密电子投标文件的。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.1.2 投标人未按照招标文件要求上传电子投标文件的。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.1.3 投标人同一采购包提交两个（含两个）以上不同的投标报价的。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.1.4投标人不具备招标文件中规定资格要求的。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.1.5投标人的报价超过了采购预算或最高限价的。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.1.6未通过符合性审查的。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.1.7不符合招标文件中规定的实质性要求的（本招标文件中斜体且有下划线部分或加★号条款为实质性要求）</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.1.8 投标人被 “信用中国”网站列入失信被执行人、重大税收违法失信主体名单、政府采购严重违法失信行为记录名单。或查询“信用中国”网站后发现投标人存在其他不符合《中华人民共和国政府采购法》第二十二条规定条件的信用记录。</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.1.9 投标文件含有</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不能接受的附加条件的。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.1.10 评标委员会按照本招标文件规定对投标人进行异常低价投标审查后，认为投标人不能证明其报价合理性的。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.1.12 投标文件未按照招标文件要求加盖CA电子公章的。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.1.13 投标人所投标产品不符合招标文件中所列国家强制性标准的。</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.1.14其他法律、法规及本招标文件规定的属无效投标的情形。</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不足三家情况的，按照政府采购有关规定执行。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应根据评委会推荐的中标候选人确定中标人。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、采购中心行贿或者提供其他不正当利益的。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（3）属于本文件规定的无效条件，但在评标过程中又未被评委会发现的。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或者其他供应商恶意串通的。</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（5）采取不正当手段诋毁、排挤其他供应商的。</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和中标人均具有法律效力。中标通知书发出后，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改变中标结果的，或者中标人放弃中标项目的，应当依法承担法律责任。</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提供一份与电子投标文件一致的纸质打印胶装投标文件</w:t>
      </w:r>
      <w:r>
        <w:rPr>
          <w:rFonts w:hint="eastAsia" w:ascii="宋体" w:hAnsi="宋体" w:eastAsia="宋体" w:cs="宋体"/>
          <w:color w:val="auto"/>
          <w:sz w:val="24"/>
          <w:szCs w:val="24"/>
          <w:highlight w:val="none"/>
          <w:lang w:eastAsia="zh-CN"/>
        </w:rPr>
        <w:t xml:space="preserve">（一正二副）</w:t>
      </w:r>
      <w:r>
        <w:rPr>
          <w:rFonts w:hint="eastAsia" w:ascii="宋体" w:hAnsi="宋体" w:eastAsia="宋体" w:cs="宋体"/>
          <w:color w:val="auto"/>
          <w:sz w:val="24"/>
          <w:szCs w:val="24"/>
          <w:highlight w:val="none"/>
        </w:rPr>
        <w:t xml:space="preserve">，封面、骑缝需加盖公章。</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30、签订合同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中标人应当在中标通知书发出之日起三十日内，按照招标文件和中标人投标文件的规定，与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签订政府采购合同。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应当在合同签订后2</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日内上传合同至苏采云公示。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31、合同标的的追加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需追加与合同标的相同的货物、工程或者服务的，在不改变合同其他条款的前提下，可以按照《中华人民共和国政府采购法》第四十九条规定，与</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32、政府采购履约资金扶持政策</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中标人可凭政府采购合同办理融资贷款，详情请见江苏政府采购网“政采贷”专栏。</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33、询问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对政府采购活动事项有疑问的，可以提出询问，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提出的询问超出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应当告知其向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34、质疑提出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、采购过程、采购结果使自己的权益受到损害的，可以在知道或者应知其权益受到损害之日（获取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之日、中标公告发布之日）起七个工作日内以书面形式向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提出质疑。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将只对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第一次质疑作出答复。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，视为未参与该项目采购活动，不具备对该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提出质疑的法定权利。</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提出质疑时，必须坚持“实事求是”的原则，不能臆测。属于须由法定部门调查、侦查或先行作出相关认定的事项，质疑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应当依法申请具有法定职权的部门查清、认定，并将相关结果提供给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不具有法定调查、认定权限。</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 质疑函的接收方式为</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书面原件提交。联系部门、联系电话和通讯地址详见招标文件第一章。质疑实行实名制，不得进行虚假、恶意质疑。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 质疑函应当使用范本，详见招标文件第六章。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提出质疑应当提交质疑函和必要的证明材料，应当包括下列内容：</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的姓名或者名称、地址、邮编、联系人及联系电话；</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为法人或者其他组织的，应当由法定代表人、主要负责人，或者其委托代理人签字或者盖章，并加盖单位公章。</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35、质疑函的受理和答复</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不负责搜集必要的证明材料等工作。</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对符合法定要求的质疑，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接收并登记《质疑函登记表》。在处理过程中，发现需要质疑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进一步补充必要的证明材料的，质疑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应在法定的时间内提供，质疑答复时间相应顺延。质疑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不能按时提供必要的证明材料的，视同放弃质疑。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对不符合质疑要求的，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有权要求其补充必要的证明材料，质疑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未在法定时间内补充必要的证明材料的，视同放弃质疑。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以下情形的质疑依法不予受理：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组成联合体，联合体中任何一方或多方未按要求签字（盖章）、加盖公章的质疑。</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招标代理机构</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36、质疑处理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未按照法定程序进行质疑投诉的，视为一般失信行为。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不配合或者采取不正当手段干扰政府采购质疑、投诉处理工作的，视为一般失信行为。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投诉受理期间，就同一事项多头举报，干扰财政部门投诉处理的，视为一般失信行为。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在全国范围12个月内三次以上质疑查无实据的，视为一般失信行为。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在全国范围12个月内三次以上投诉查无实据的，视为严重失信行为。</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未尽事宜，依照有关法律、法规执行。</w:t>
      </w:r>
      <w:r/>
    </w:p>
    <w:p>
      <w:pPr>
        <w:pStyle w:val="732"/>
        <w:ind w:left="0" w:right="0"/>
        <w:pageBreakBefore w:val="0"/>
        <w:spacing w:before="0" w:after="0" w:line="480" w:lineRule="exact"/>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37、促进中小企业发展</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37.2 参加本项目政府采购活动的供应商应当提供的材料： </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（1）投标人提供的货物全部由中型企业、小型企业、微型企业制造的，提供《中小企业声明函》（第六章 投标文件格式）。</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37.3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 xml:space="preserve">。</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38、采购本国产品的支持政策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38.3 投标人需按照招标文件的要求提供《关于符合本国产品标准的声明函》（以下简称《声明函》），如不提供将不享受本国产品价格评审优惠。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、支持绿色发展</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1.本项目执行《关于印发环境标志产品政府采购品目清单的通知》（财库〔2019〕18 号）、《关于印发节能产品政府采购品目清单的通知》（财库〔2019〕19 号）等有关规定，</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rPr>
        <w:t xml:space="preserve">、政府采购需求标准</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本项目执行《绿色数据中心政府采购</w:t>
      </w:r>
      <w:r>
        <w:rPr>
          <w:rFonts w:hint="eastAsia" w:ascii="宋体" w:hAnsi="宋体" w:eastAsia="宋体" w:cs="宋体"/>
          <w:color w:val="auto"/>
          <w:sz w:val="24"/>
          <w:szCs w:val="24"/>
          <w:highlight w:val="none"/>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pStyle w:val="733"/>
        <w:ind w:left="0" w:right="0" w:firstLine="562"/>
        <w:jc w:val="left"/>
        <w:pageBreakBefore w:val="0"/>
        <w:spacing w:before="0" w:after="0" w:line="48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41、解释权</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本招标文件是参照《中华人民共和国政府采购法》、《中华人民共和国政府采购法实施条例》、《政府采购货物和服务招标投标管理办法》及相关法律法规编制，解释权属采购人。</w:t>
      </w:r>
      <w:r/>
    </w:p>
    <w:p>
      <w:pPr>
        <w:ind w:left="0"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490" w:lineRule="exact"/>
        <w:rPr>
          <w:rFonts w:hint="eastAsia" w:ascii="宋体" w:hAnsi="宋体" w:eastAsia="宋体" w:cs="宋体"/>
          <w:b w:val="0"/>
          <w:color w:val="auto"/>
          <w:highlight w:val="none"/>
        </w:rPr>
      </w:pPr>
      <w:r/>
      <w:bookmarkStart w:id="14" w:name="_Toc165205796"/>
      <w:r/>
      <w:bookmarkStart w:id="15" w:name="_Toc155796359"/>
      <w:r>
        <w:rPr>
          <w:rFonts w:hint="eastAsia" w:ascii="宋体" w:hAnsi="宋体" w:eastAsia="宋体" w:cs="宋体"/>
          <w:b w:val="0"/>
          <w:color w:val="auto"/>
          <w:highlight w:val="none"/>
        </w:rPr>
        <w:t xml:space="preserve">第三章  合同文本</w:t>
      </w:r>
      <w:bookmarkEnd w:id="14"/>
      <w:r/>
      <w:r/>
    </w:p>
    <w:p>
      <w:pPr>
        <w:pStyle w:val="747"/>
        <w:ind w:left="0" w:right="0"/>
        <w:jc w:val="center"/>
        <w:pageBreakBefore w:val="0"/>
        <w:spacing w:after="0" w:line="490" w:lineRule="exact"/>
        <w:rPr>
          <w:rFonts w:hint="eastAsia" w:ascii="宋体" w:hAnsi="宋体" w:eastAsia="宋体" w:cs="宋体"/>
          <w:b/>
          <w:bCs/>
          <w:color w:val="auto"/>
          <w:spacing w:val="-20"/>
          <w:sz w:val="48"/>
          <w:szCs w:val="48"/>
          <w:highlight w:val="none"/>
        </w:rPr>
      </w:pPr>
      <w:r/>
      <w:bookmarkStart w:id="16" w:name="_Toc3995"/>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bookmarkEnd w:id="16"/>
      <w:r/>
      <w:r/>
    </w:p>
    <w:p>
      <w:pP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br w:type="page" w:clear="all"/>
      </w:r>
      <w:r/>
    </w:p>
    <w:p>
      <w:pPr>
        <w:ind w:left="0" w:right="0"/>
        <w:jc w:val="center"/>
        <w:pageBreakBefore w:val="0"/>
        <w:spacing w:after="0" w:line="490" w:lineRule="exact"/>
        <w:widowControl w:val="off"/>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政府采购货物合同</w:t>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项目名称：</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w:t>
      </w:r>
      <w:r/>
    </w:p>
    <w:p>
      <w:pPr>
        <w:ind w:left="0" w:right="0"/>
        <w:pageBreakBefore w:val="0"/>
        <w:spacing w:line="49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乙方：</w:t>
      </w:r>
      <w:r/>
    </w:p>
    <w:p>
      <w:pPr>
        <w:ind w:left="0" w:right="0"/>
        <w:pageBreakBefore w:val="0"/>
        <w:spacing w:line="4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p>
    <w:p>
      <w:pPr>
        <w:ind w:left="0" w:right="0"/>
        <w:jc w:val="left"/>
        <w:pageBreakBefore w:val="0"/>
        <w:spacing w:line="49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第一节 政府采购合同协议书</w:t>
      </w:r>
      <w:r/>
    </w:p>
    <w:p>
      <w:pPr>
        <w:jc w:val="center"/>
        <w:keepLines/>
        <w:keepNext/>
        <w:spacing w:line="400" w:lineRule="exact"/>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甲方（全称）：</w:t>
      </w:r>
      <w:r>
        <w:rPr>
          <w:rFonts w:hint="eastAsia" w:ascii="宋体" w:hAnsi="宋体" w:eastAsia="宋体" w:cs="宋体"/>
          <w:color w:val="auto"/>
          <w:sz w:val="24"/>
          <w:szCs w:val="24"/>
          <w:highlight w:val="none"/>
          <w:u w:val="single"/>
          <w:lang w:val="en-US" w:eastAsia="zh-CN" w:bidi="ar-SA"/>
        </w:rPr>
        <w:t xml:space="preserve">                        </w:t>
      </w:r>
      <w:r/>
    </w:p>
    <w:p>
      <w:pPr>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乙方（全称）：</w:t>
      </w:r>
      <w:r>
        <w:rPr>
          <w:rFonts w:hint="eastAsia"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w:t>
      </w:r>
      <w:r>
        <w:rPr>
          <w:rFonts w:hint="eastAsia" w:ascii="宋体" w:hAnsi="宋体" w:eastAsia="宋体" w:cs="宋体"/>
          <w:i w:val="0"/>
          <w:iCs w:val="0"/>
          <w:color w:val="auto"/>
          <w:sz w:val="24"/>
          <w:szCs w:val="24"/>
          <w:highlight w:val="none"/>
          <w:u w:val="none"/>
          <w:lang w:val="en-US" w:eastAsia="zh-CN" w:bidi="ar-SA"/>
        </w:rPr>
        <w:t xml:space="preserve">本采购项目</w:t>
      </w:r>
      <w:r>
        <w:rPr>
          <w:rFonts w:hint="eastAsia" w:ascii="宋体" w:hAnsi="宋体" w:eastAsia="宋体" w:cs="宋体"/>
          <w:color w:val="auto"/>
          <w:sz w:val="24"/>
          <w:szCs w:val="24"/>
          <w:highlight w:val="none"/>
          <w:lang w:val="en-US" w:eastAsia="zh-CN" w:bidi="ar-SA"/>
        </w:rPr>
        <w:t xml:space="preserve">的招标文件、乙方的《投标文件》及《中标通知书》，甲乙双方同意签订本合同。具体情况及要求如下：     </w:t>
      </w:r>
      <w:r/>
    </w:p>
    <w:p>
      <w:pPr>
        <w:numPr>
          <w:ilvl w:val="0"/>
          <w:numId w:val="0"/>
        </w:numPr>
        <w:ind w:left="0"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1.项目信息</w:t>
      </w:r>
      <w:r/>
    </w:p>
    <w:p>
      <w:pPr>
        <w:numPr>
          <w:ilvl w:val="0"/>
          <w:numId w:val="0"/>
        </w:numPr>
        <w:ind w:lef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（1）采购项目名称：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采购项目编号：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jc w:val="both"/>
        <w:keepLines w:val="0"/>
        <w:keepNext w:val="0"/>
        <w:pageBreakBefore w:val="0"/>
        <w:spacing w:before="0" w:after="0" w:line="360" w:lineRule="auto"/>
        <w:widowControl w:val="off"/>
        <w:tabs>
          <w:tab w:val="left" w:pos="999"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（2）采购计划编号：</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（3）项目内容：</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采购标的及数量（台/套</w:t>
      </w:r>
      <w:r>
        <w:rPr>
          <w:rFonts w:hint="eastAsia" w:ascii="宋体" w:hAnsi="宋体" w:eastAsia="宋体" w:cs="宋体"/>
          <w:color w:val="auto"/>
          <w:sz w:val="24"/>
          <w:szCs w:val="24"/>
          <w:highlight w:val="none"/>
          <w:lang w:val="en" w:eastAsia="zh-CN" w:bidi="ar-SA"/>
        </w:rPr>
        <w:t xml:space="preserve">/个/架/组等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 w:eastAsia="zh-CN" w:bidi="ar-SA"/>
        </w:rPr>
      </w:pP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lang w:val="en-US" w:eastAsia="zh-CN" w:bidi="ar-SA"/>
        </w:rPr>
        <w:t xml:space="preserve">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采购标的的技术要求、商务要求具体见附件。</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①涉及信息类产品，请填写该产品关键部件的品牌、型号：</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标的名称：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关键部件：</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型号：</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②涉及车辆采购，请填写是否属于新能源汽车：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数量：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4</w:t>
      </w:r>
      <w:r>
        <w:rPr>
          <w:rFonts w:hint="eastAsia" w:ascii="宋体" w:hAnsi="宋体" w:eastAsia="宋体" w:cs="宋体"/>
          <w:iCs w:val="0"/>
          <w:color w:val="auto"/>
          <w:sz w:val="24"/>
          <w:szCs w:val="24"/>
          <w:highlight w:val="none"/>
          <w:lang w:val="en-US" w:eastAsia="zh-CN" w:bidi="ar-SA"/>
        </w:rPr>
        <w:t xml:space="preserve">）政府采购组织形式：</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政府集中采购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部门集中采购  </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分散采购</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 w:eastAsia="zh-CN" w:bidi="ar-SA"/>
        </w:rPr>
        <w:t xml:space="preserve">5</w:t>
      </w:r>
      <w:r>
        <w:rPr>
          <w:rFonts w:hint="eastAsia" w:ascii="宋体" w:hAnsi="宋体" w:eastAsia="宋体" w:cs="宋体"/>
          <w:iCs w:val="0"/>
          <w:color w:val="auto"/>
          <w:sz w:val="24"/>
          <w:szCs w:val="24"/>
          <w:highlight w:val="none"/>
          <w:lang w:val="en-US" w:eastAsia="zh-CN" w:bidi="ar-SA"/>
        </w:rPr>
        <w:t xml:space="preserve">）政府采购方式：</w:t>
      </w:r>
      <w:r>
        <w:rPr>
          <w:rFonts w:ascii="Wingdings" w:hAnsi="Wingdings" w:eastAsia="Wingdings" w:cs="Wingdings"/>
          <w:iCs w:val="0"/>
          <w:color w:val="auto"/>
          <w:sz w:val="24"/>
          <w:szCs w:val="24"/>
          <w:highlight w:val="none"/>
          <w:lang w:val="en-US" w:eastAsia="zh-CN" w:bidi="ar-SA"/>
        </w:rPr>
        <w:t xml:space="preserve">þ</w:t>
      </w:r>
      <w:r>
        <w:rPr>
          <w:rFonts w:hint="eastAsia" w:ascii="宋体" w:hAnsi="宋体" w:eastAsia="宋体" w:cs="宋体"/>
          <w:iCs w:val="0"/>
          <w:color w:val="auto"/>
          <w:sz w:val="24"/>
          <w:szCs w:val="24"/>
          <w:highlight w:val="none"/>
          <w:lang w:val="en-US" w:eastAsia="zh-CN" w:bidi="ar-SA"/>
        </w:rPr>
        <w:t xml:space="preserve">公开招标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邀请招标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竞争性谈判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竞争性磋商</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询价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单一来源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框架协议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其他：</w:t>
      </w:r>
      <w:r>
        <w:rPr>
          <w:rFonts w:hint="eastAsia" w:ascii="宋体" w:hAnsi="宋体" w:eastAsia="宋体" w:cs="宋体"/>
          <w:iCs w:val="0"/>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中标（成交）采购标的制造商是否为中小企业：</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本合同是否为专门面向中小企业的采</w:t>
      </w:r>
      <w:r>
        <w:rPr>
          <w:rFonts w:hint="eastAsia" w:ascii="宋体" w:hAnsi="宋体" w:eastAsia="宋体" w:cs="宋体"/>
          <w:color w:val="auto"/>
          <w:sz w:val="24"/>
          <w:szCs w:val="24"/>
          <w:highlight w:val="none"/>
          <w:shd w:val="clear" w:color="auto"/>
          <w:lang w:val="en-US" w:eastAsia="zh-CN" w:bidi="ar-SA"/>
        </w:rPr>
        <w:t xml:space="preserve">购合同（中小企业预留合同）</w:t>
      </w:r>
      <w:r>
        <w:rPr>
          <w:rFonts w:hint="eastAsia" w:ascii="宋体" w:hAnsi="宋体" w:eastAsia="宋体" w:cs="宋体"/>
          <w:color w:val="auto"/>
          <w:sz w:val="24"/>
          <w:szCs w:val="24"/>
          <w:highlight w:val="none"/>
          <w:shd w:val="clear" w:color="auto"/>
          <w:lang w:val="en-US" w:eastAsia="zh-CN" w:bidi="ar-SA"/>
        </w:rPr>
        <w:t xml:space="preserve">：</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若本项目不专门面向中小企业采购，是否给予小微企业评审优惠：</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中标（成交）采购标的制造商是否为残疾人福利性单位：</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中标（成交）采购标的制造商是否为监狱企业：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 w:eastAsia="zh-CN" w:bidi="ar-SA"/>
        </w:rPr>
        <w:t xml:space="preserve">7</w:t>
      </w:r>
      <w:r>
        <w:rPr>
          <w:rFonts w:hint="eastAsia" w:ascii="宋体" w:hAnsi="宋体" w:eastAsia="宋体" w:cs="宋体"/>
          <w:color w:val="auto"/>
          <w:sz w:val="24"/>
          <w:szCs w:val="24"/>
          <w:highlight w:val="none"/>
          <w:lang w:val="en-US" w:eastAsia="zh-CN" w:bidi="ar-SA"/>
        </w:rPr>
        <w:t xml:space="preserve">）合同是否分包：</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分包主要内容：</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分包供应商/制造商名称（如供应商和制造商不同，请分别填写）：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分包供应商/制造商类型（如果供应商和制造商不同，只填写制造商类型）：</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大型企业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中型企业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小微型企业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残疾人福利性单位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监狱企业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其他</w:t>
      </w:r>
      <w:r/>
    </w:p>
    <w:p>
      <w:pPr>
        <w:numPr>
          <w:ilvl w:val="0"/>
          <w:numId w:val="0"/>
        </w:numPr>
        <w:ind w:left="15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中标（成交）供应商是否为外商投资企业：</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是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否</w:t>
      </w:r>
      <w:r/>
    </w:p>
    <w:p>
      <w:pPr>
        <w:numPr>
          <w:ilvl w:val="0"/>
          <w:numId w:val="0"/>
        </w:numPr>
        <w:ind w:left="0" w:firstLine="480"/>
        <w:keepLines w:val="0"/>
        <w:keepNext w:val="0"/>
        <w:pageBreakBefore w:val="0"/>
        <w:spacing w:before="0" w:line="360" w:lineRule="auto"/>
        <w:rPr>
          <w:rFonts w:hint="eastAsia" w:ascii="宋体" w:hAnsi="宋体" w:eastAsia="宋体" w:cs="宋体"/>
          <w:iCs/>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外商投资企业类型：</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全部由外国投资者投资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部分由外国投资者投资</w:t>
      </w:r>
      <w:r/>
    </w:p>
    <w:p>
      <w:pPr>
        <w:numPr>
          <w:ilvl w:val="0"/>
          <w:numId w:val="0"/>
        </w:numPr>
        <w:ind w:left="150" w:firstLine="480"/>
        <w:keepLines w:val="0"/>
        <w:keepNext w:val="0"/>
        <w:pageBreakBefore w:val="0"/>
        <w:spacing w:line="360" w:lineRule="auto"/>
        <w:tabs>
          <w:tab w:val="left" w:pos="13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u w:val="none"/>
          <w:lang w:val="en-US" w:eastAsia="zh-CN" w:bidi="ar-SA"/>
        </w:rPr>
        <w:t xml:space="preserve">是否涉及进口产品：</w:t>
      </w:r>
      <w:r/>
    </w:p>
    <w:p>
      <w:pPr>
        <w:numPr>
          <w:ilvl w:val="0"/>
          <w:numId w:val="0"/>
        </w:numPr>
        <w:ind w:left="0" w:firstLine="720"/>
        <w:keepLines w:val="0"/>
        <w:keepNext w:val="0"/>
        <w:pageBreakBefore w:val="0"/>
        <w:spacing w:line="360" w:lineRule="auto"/>
        <w:tabs>
          <w:tab w:val="left" w:pos="1340" w:leader="none"/>
        </w:tabs>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是，《政府采购品目分类目录》底级品目名称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国别：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品牌：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规格型号：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val="0"/>
          <w:color w:val="auto"/>
          <w:sz w:val="24"/>
          <w:szCs w:val="24"/>
          <w:highlight w:val="none"/>
          <w:lang w:val="en-US" w:eastAsia="zh-CN" w:bidi="ar-SA"/>
        </w:rPr>
        <w:t xml:space="preserve">     </w:t>
      </w:r>
      <w:r/>
    </w:p>
    <w:p>
      <w:pPr>
        <w:ind w:left="0" w:firstLine="720"/>
        <w:keepLines w:val="0"/>
        <w:keepNext w:val="0"/>
        <w:pageBreakBefore w:val="0"/>
        <w:spacing w:before="0" w:line="360" w:lineRule="auto"/>
        <w:rPr>
          <w:rFonts w:hint="eastAsia" w:ascii="宋体" w:hAnsi="宋体" w:eastAsia="宋体" w:cs="宋体"/>
          <w:color w:val="auto"/>
          <w:sz w:val="24"/>
          <w:szCs w:val="24"/>
          <w:highlight w:val="none"/>
          <w:u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（1</w:t>
      </w:r>
      <w:r>
        <w:rPr>
          <w:rFonts w:hint="eastAsia" w:ascii="宋体" w:hAnsi="宋体" w:eastAsia="宋体" w:cs="宋体"/>
          <w:b w:val="0"/>
          <w:bCs w:val="0"/>
          <w:color w:val="auto"/>
          <w:sz w:val="24"/>
          <w:szCs w:val="24"/>
          <w:highlight w:val="none"/>
          <w:u w:val="none"/>
          <w:lang w:val="en" w:eastAsia="zh-CN" w:bidi="ar-SA"/>
        </w:rPr>
        <w:t xml:space="preserve">0</w:t>
      </w:r>
      <w:r>
        <w:rPr>
          <w:rFonts w:hint="eastAsia" w:ascii="宋体" w:hAnsi="宋体" w:eastAsia="宋体" w:cs="宋体"/>
          <w:b w:val="0"/>
          <w:bCs w:val="0"/>
          <w:color w:val="auto"/>
          <w:sz w:val="24"/>
          <w:szCs w:val="24"/>
          <w:highlight w:val="none"/>
          <w:u w:val="none"/>
          <w:lang w:val="en-US" w:eastAsia="zh-CN" w:bidi="ar-SA"/>
        </w:rPr>
        <w:t xml:space="preserve">）是否涉及节能产品：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是，《节能产品政府采购品目清单》的底级品目名称：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是否涉及环境标志产品：</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是，《环境标志产品政府采购品目清单》的底级品目名称：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iCs/>
          <w:color w:val="auto"/>
          <w:sz w:val="24"/>
          <w:szCs w:val="24"/>
          <w:highlight w:val="non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是否涉及绿色产品：</w:t>
      </w:r>
      <w:r>
        <w:rPr>
          <w:rFonts w:hint="eastAsia" w:ascii="宋体" w:hAnsi="宋体" w:eastAsia="宋体" w:cs="宋体"/>
          <w:iCs w:val="0"/>
          <w:color w:val="auto"/>
          <w:sz w:val="24"/>
          <w:szCs w:val="24"/>
          <w:highlight w:val="none"/>
          <w:u w:val="none"/>
          <w:lang w:val="en-US" w:eastAsia="zh-CN" w:bidi="ar-SA"/>
        </w:rPr>
        <w:t xml:space="preserve"> </w:t>
      </w:r>
      <w:r/>
    </w:p>
    <w:p>
      <w:pPr>
        <w:ind w:left="0" w:firstLine="720"/>
        <w:keepLines w:val="0"/>
        <w:keepNext w:val="0"/>
        <w:pageBreakBefore w:val="0"/>
        <w:spacing w:line="360" w:lineRule="auto"/>
        <w:rPr>
          <w:rFonts w:hint="eastAsia" w:ascii="宋体" w:hAnsi="宋体" w:eastAsia="宋体" w:cs="宋体"/>
          <w:color w:val="auto"/>
          <w:sz w:val="24"/>
          <w:szCs w:val="24"/>
          <w:highlight w:val="none"/>
          <w:u w:val="singl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是，绿色产品政府采购相关政策确定的底级品目名称：</w:t>
      </w:r>
      <w:r>
        <w:rPr>
          <w:rFonts w:hint="eastAsia" w:ascii="宋体" w:hAnsi="宋体" w:eastAsia="宋体" w:cs="宋体"/>
          <w:color w:val="auto"/>
          <w:sz w:val="24"/>
          <w:szCs w:val="24"/>
          <w:highlight w:val="none"/>
          <w:u w:val="single"/>
          <w:lang w:val="en-US" w:eastAsia="zh-CN" w:bidi="ar-SA"/>
        </w:rPr>
        <w:t xml:space="preserve">         </w:t>
      </w:r>
      <w:r/>
    </w:p>
    <w:p>
      <w:pPr>
        <w:numPr>
          <w:ilvl w:val="-1"/>
          <w:numId w:val="0"/>
        </w:numPr>
        <w:ind w:left="0" w:firstLine="480"/>
        <w:keepLines w:val="0"/>
        <w:keepNext w:val="0"/>
        <w:pageBreakBefore w:val="0"/>
        <w:spacing w:before="0" w:line="360" w:lineRule="auto"/>
        <w:tabs>
          <w:tab w:val="left" w:pos="740" w:leader="none"/>
        </w:tabs>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强制采购       </w:t>
      </w:r>
      <w:r>
        <w:rPr>
          <w:rFonts w:ascii="Wingdings" w:hAnsi="Wingdings" w:eastAsia="Wingdings" w:cs="Wingdings"/>
          <w:iCs/>
          <w:color w:val="auto"/>
          <w:sz w:val="24"/>
          <w:szCs w:val="24"/>
          <w:highlight w:val="none"/>
          <w:lang w:val="en-US" w:eastAsia="zh-CN" w:bidi="ar-SA"/>
        </w:rPr>
        <w:t xml:space="preserve">¨</w:t>
      </w:r>
      <w:r>
        <w:rPr>
          <w:rFonts w:hint="eastAsia" w:ascii="宋体" w:hAnsi="宋体" w:eastAsia="宋体" w:cs="宋体"/>
          <w:iCs/>
          <w:color w:val="auto"/>
          <w:sz w:val="24"/>
          <w:szCs w:val="24"/>
          <w:highlight w:val="none"/>
          <w:lang w:val="en-US" w:eastAsia="zh-CN" w:bidi="ar-SA"/>
        </w:rPr>
        <w:t xml:space="preserve">优先采购    </w:t>
      </w:r>
      <w:r/>
    </w:p>
    <w:p>
      <w:pPr>
        <w:ind w:left="0" w:firstLine="720"/>
        <w:keepLines w:val="0"/>
        <w:keepNext w:val="0"/>
        <w:pageBreakBefore w:val="0"/>
        <w:spacing w:line="360" w:lineRule="auto"/>
        <w:rPr>
          <w:rFonts w:hint="eastAsia" w:ascii="宋体" w:hAnsi="宋体" w:eastAsia="宋体" w:cs="宋体"/>
          <w:iCs w:val="0"/>
          <w:color w:val="auto"/>
          <w:sz w:val="24"/>
          <w:szCs w:val="24"/>
          <w:highlight w:val="none"/>
          <w:u w:val="none"/>
          <w:lang w:val="en-US" w:eastAsia="zh-CN" w:bidi="ar-SA"/>
        </w:rPr>
      </w:pPr>
      <w:r>
        <w:rPr>
          <w:rFonts w:ascii="Wingdings" w:hAnsi="Wingdings" w:eastAsia="Wingdings" w:cs="Wingdings"/>
          <w:iCs w:val="0"/>
          <w:color w:val="auto"/>
          <w:sz w:val="24"/>
          <w:szCs w:val="24"/>
          <w:highlight w:val="none"/>
          <w:u w:val="none"/>
          <w:lang w:val="en-US" w:eastAsia="zh-CN" w:bidi="ar-SA"/>
        </w:rPr>
        <w:t xml:space="preserve">¨</w:t>
      </w:r>
      <w:r>
        <w:rPr>
          <w:rFonts w:hint="eastAsia" w:ascii="宋体" w:hAnsi="宋体" w:eastAsia="宋体" w:cs="宋体"/>
          <w:iCs w:val="0"/>
          <w:color w:val="auto"/>
          <w:sz w:val="24"/>
          <w:szCs w:val="24"/>
          <w:highlight w:val="none"/>
          <w:u w:val="none"/>
          <w:lang w:val="en-US" w:eastAsia="zh-CN" w:bidi="ar-SA"/>
        </w:rPr>
        <w:t xml:space="preserve">否</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 w:eastAsia="zh-CN" w:bidi="ar-SA"/>
        </w:rPr>
        <w:t xml:space="preserve">1</w:t>
      </w:r>
      <w:r>
        <w:rPr>
          <w:rFonts w:hint="eastAsia" w:ascii="宋体" w:hAnsi="宋体" w:eastAsia="宋体" w:cs="宋体"/>
          <w:color w:val="auto"/>
          <w:sz w:val="24"/>
          <w:szCs w:val="24"/>
          <w:highlight w:val="none"/>
          <w:lang w:val="en-US" w:eastAsia="zh-CN" w:bidi="ar-SA"/>
        </w:rPr>
        <w:t xml:space="preserve">）涉及商品包装和快递包装的，是否参考《商品包装政府采购需求标准（试行）》、《快递包装政府采购需求标准（试行）》明确产品及相关快递服务的具体包装要求：</w:t>
      </w:r>
      <w:r/>
    </w:p>
    <w:p>
      <w:pPr>
        <w:numPr>
          <w:ilvl w:val="-1"/>
          <w:numId w:val="0"/>
        </w:numPr>
        <w:ind w:left="0" w:firstLine="480"/>
        <w:keepLines w:val="0"/>
        <w:keepNext w:val="0"/>
        <w:pageBreakBefore w:val="0"/>
        <w:spacing w:before="0" w:line="360" w:lineRule="auto"/>
        <w:rPr>
          <w:rFonts w:hint="eastAsia" w:ascii="宋体" w:hAnsi="宋体" w:eastAsia="宋体" w:cs="宋体"/>
          <w:iCs w:val="0"/>
          <w:color w:val="auto"/>
          <w:sz w:val="24"/>
          <w:szCs w:val="24"/>
          <w:highlight w:val="none"/>
          <w:lang w:val="en-US" w:eastAsia="zh-CN" w:bidi="ar-SA"/>
        </w:rPr>
      </w:pP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是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否    </w:t>
      </w:r>
      <w:r>
        <w:rPr>
          <w:rFonts w:ascii="Wingdings" w:hAnsi="Wingdings" w:eastAsia="Wingdings" w:cs="Wingdings"/>
          <w:iCs w:val="0"/>
          <w:color w:val="auto"/>
          <w:sz w:val="24"/>
          <w:szCs w:val="24"/>
          <w:highlight w:val="none"/>
          <w:lang w:val="en-US" w:eastAsia="zh-CN" w:bidi="ar-SA"/>
        </w:rPr>
        <w:t xml:space="preserve">¨</w:t>
      </w:r>
      <w:r>
        <w:rPr>
          <w:rFonts w:hint="eastAsia" w:ascii="宋体" w:hAnsi="宋体" w:eastAsia="宋体" w:cs="宋体"/>
          <w:iCs w:val="0"/>
          <w:color w:val="auto"/>
          <w:sz w:val="24"/>
          <w:szCs w:val="24"/>
          <w:highlight w:val="none"/>
          <w:lang w:val="en-US" w:eastAsia="zh-CN" w:bidi="ar-SA"/>
        </w:rPr>
        <w:t xml:space="preserve">不涉及</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2.合同金额</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（1）合同金额小写：</w:t>
      </w:r>
      <w:r>
        <w:rPr>
          <w:rFonts w:hint="eastAsia" w:ascii="宋体" w:hAnsi="宋体" w:eastAsia="宋体" w:cs="宋体"/>
          <w:color w:val="auto"/>
          <w:sz w:val="24"/>
          <w:szCs w:val="24"/>
          <w:highlight w:val="none"/>
          <w:u w:val="single"/>
          <w:lang w:val="en-US" w:eastAsia="zh-CN" w:bidi="ar-SA"/>
        </w:rPr>
        <w:t xml:space="preserve">                           </w:t>
      </w:r>
      <w:r/>
    </w:p>
    <w:p>
      <w:pPr>
        <w:ind w:left="0"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p>
    <w:p>
      <w:pPr>
        <w:ind w:firstLine="480"/>
        <w:keepLines w:val="0"/>
        <w:keepNext w:val="0"/>
        <w:pageBreakBefore w:val="0"/>
        <w:spacing w:before="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（2）合同定价方式：</w:t>
      </w:r>
      <w:r>
        <w:rPr>
          <w:rFonts w:ascii="Wingdings 2" w:hAnsi="Wingdings 2" w:eastAsia="Wingdings 2" w:cs="Wingdings 2"/>
          <w:b/>
          <w:bCs/>
          <w:iCs/>
          <w:color w:val="auto"/>
          <w:sz w:val="24"/>
          <w:szCs w:val="24"/>
          <w:highlight w:val="none"/>
          <w:u w:val="single"/>
          <w:lang w:val="en-US" w:eastAsia="zh-CN" w:bidi="ar-SA"/>
        </w:rPr>
        <w:t xml:space="preserve">£</w:t>
      </w:r>
      <w:r>
        <w:rPr>
          <w:rFonts w:hint="eastAsia" w:ascii="宋体" w:hAnsi="宋体" w:eastAsia="宋体" w:cs="宋体"/>
          <w:b/>
          <w:bCs/>
          <w:iCs/>
          <w:color w:val="auto"/>
          <w:sz w:val="24"/>
          <w:szCs w:val="24"/>
          <w:highlight w:val="none"/>
          <w:u w:val="single"/>
          <w:lang w:val="en-US" w:eastAsia="zh-CN" w:bidi="ar-SA"/>
        </w:rPr>
        <w:t xml:space="preserve">固定总价  </w:t>
      </w:r>
      <w:r>
        <w:rPr>
          <w:rFonts w:ascii="Wingdings 2" w:hAnsi="Wingdings 2" w:eastAsia="Wingdings 2" w:cs="Wingdings 2"/>
          <w:b/>
          <w:bCs/>
          <w:iCs/>
          <w:color w:val="auto"/>
          <w:sz w:val="24"/>
          <w:szCs w:val="24"/>
          <w:highlight w:val="none"/>
          <w:u w:val="single"/>
          <w:lang w:val="en-US" w:eastAsia="zh-CN" w:bidi="ar-SA"/>
        </w:rPr>
        <w:t xml:space="preserve">R</w:t>
      </w:r>
      <w:r>
        <w:rPr>
          <w:rFonts w:hint="eastAsia" w:ascii="宋体" w:hAnsi="宋体" w:eastAsia="宋体" w:cs="宋体"/>
          <w:b/>
          <w:bCs/>
          <w:iCs/>
          <w:color w:val="auto"/>
          <w:sz w:val="24"/>
          <w:szCs w:val="24"/>
          <w:highlight w:val="none"/>
          <w:u w:val="single"/>
          <w:lang w:val="en-US" w:eastAsia="zh-CN" w:bidi="ar-SA"/>
        </w:rPr>
        <w:t xml:space="preserve">固定单价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合同签订后30日内，支付合同价款的10%作为预付款；采购货物全部送至指定地点后支付至合同价款的50%，全部安装调试完成且经验收合格后一次性付清。（无息）</w:t>
      </w:r>
      <w:r/>
    </w:p>
    <w:p>
      <w:pPr>
        <w:ind w:firstLine="482"/>
        <w:keepLines w:val="0"/>
        <w:keepNext w:val="0"/>
        <w:pageBreakBefore w:val="0"/>
        <w:spacing w:before="0" w:line="360" w:lineRule="auto"/>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付款时由乙方提供增值税发票，甲方按相关财务支付规定办理支付手续。</w:t>
      </w:r>
      <w:r/>
    </w:p>
    <w:p>
      <w:pPr>
        <w:ind w:firstLine="480"/>
        <w:keepLines w:val="0"/>
        <w:keepNext w:val="0"/>
        <w:pageBreakBefore w:val="0"/>
        <w:spacing w:before="0" w:line="360"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当采购数量与实际使用数量不一致时，乙方根据实际使用量提供产品和服务，合同的最终结算金额按实际使用量乘以中标单价进行计算。</w:t>
      </w:r>
      <w:r/>
    </w:p>
    <w:p>
      <w:pPr>
        <w:numPr>
          <w:ilvl w:val="0"/>
          <w:numId w:val="0"/>
        </w:numPr>
        <w:ind w:firstLine="482"/>
        <w:keepLines w:val="0"/>
        <w:keepNext w:val="0"/>
        <w:pageBreakBefore w:val="0"/>
        <w:spacing w:before="0" w:line="360" w:lineRule="auto"/>
        <w:rPr>
          <w:rFonts w:hint="eastAsia" w:ascii="宋体" w:hAnsi="宋体" w:eastAsia="宋体" w:cs="宋体"/>
          <w:b/>
          <w:bCs w:val="0"/>
          <w:color w:val="auto"/>
          <w:sz w:val="24"/>
          <w:szCs w:val="24"/>
          <w:highlight w:val="none"/>
          <w:u w:val="single"/>
          <w:lang w:val="en-US" w:eastAsia="zh-CN" w:bidi="ar-SA"/>
        </w:rPr>
      </w:pPr>
      <w:r>
        <w:rPr>
          <w:rFonts w:hint="eastAsia" w:ascii="宋体" w:hAnsi="宋体" w:eastAsia="宋体" w:cs="宋体"/>
          <w:b/>
          <w:bCs w:val="0"/>
          <w:color w:val="auto"/>
          <w:sz w:val="24"/>
          <w:szCs w:val="24"/>
          <w:highlight w:val="none"/>
          <w:lang w:val="en-US" w:eastAsia="zh-CN" w:bidi="ar-SA"/>
        </w:rPr>
        <w:t xml:space="preserve">3.合同履行</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（1）起始日期：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日，完成日期：</w:t>
      </w:r>
      <w:r>
        <w:rPr>
          <w:rFonts w:hint="eastAsia" w:ascii="宋体" w:hAnsi="宋体" w:eastAsia="宋体" w:cs="宋体"/>
          <w:color w:val="auto"/>
          <w:sz w:val="24"/>
          <w:szCs w:val="24"/>
          <w:highlight w:val="none"/>
          <w:u w:val="single"/>
          <w:lang w:val="en-US" w:eastAsia="zh-CN" w:bidi="ar-SA"/>
        </w:rPr>
        <w:t xml:space="preserve">2026</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（2）履约地点</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灌云县高新区高级中学新校区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（3）履约担保：</w:t>
      </w:r>
      <w:r>
        <w:rPr>
          <w:rFonts w:hint="eastAsia" w:ascii="宋体" w:hAnsi="宋体" w:eastAsia="宋体" w:cs="宋体"/>
          <w:color w:val="auto"/>
          <w:sz w:val="24"/>
          <w:szCs w:val="24"/>
          <w:highlight w:val="none"/>
          <w:lang w:val="en-US" w:eastAsia="zh-CN" w:bidi="ar-SA"/>
        </w:rPr>
        <w:t xml:space="preserve">是否收取履约保证金：</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收取履约保证金形式：</w:t>
      </w:r>
      <w:r>
        <w:rPr>
          <w:rFonts w:hint="eastAsia" w:ascii="宋体" w:hAnsi="宋体" w:eastAsia="宋体" w:cs="宋体"/>
          <w:bCs/>
          <w:color w:val="auto"/>
          <w:sz w:val="24"/>
          <w:szCs w:val="24"/>
          <w:highlight w:val="none"/>
          <w:u w:val="single"/>
          <w:lang w:val="en-US" w:eastAsia="zh-CN" w:bidi="ar-SA"/>
        </w:rPr>
        <w:t xml:space="preserve">支票、汇票、本票或者金融机构、担保机构出具的保函等非现金形式。</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收取履约保证金金额：</w:t>
      </w:r>
      <w:r>
        <w:rPr>
          <w:rFonts w:hint="eastAsia" w:ascii="宋体" w:hAnsi="宋体" w:eastAsia="宋体" w:cs="宋体"/>
          <w:bCs/>
          <w:color w:val="auto"/>
          <w:sz w:val="24"/>
          <w:szCs w:val="24"/>
          <w:highlight w:val="none"/>
          <w:u w:val="single"/>
          <w:lang w:val="en-US" w:eastAsia="zh-CN" w:bidi="ar-SA"/>
        </w:rPr>
        <w:t xml:space="preserve">政府采购合同金额的10%</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履约担保的退还：</w:t>
      </w:r>
      <w:r>
        <w:rPr>
          <w:rFonts w:hint="eastAsia" w:ascii="宋体" w:hAnsi="宋体" w:eastAsia="宋体" w:cs="宋体"/>
          <w:bCs/>
          <w:color w:val="auto"/>
          <w:sz w:val="24"/>
          <w:szCs w:val="24"/>
          <w:highlight w:val="none"/>
          <w:u w:val="single"/>
          <w:lang w:val="en-US" w:eastAsia="zh-CN"/>
        </w:rPr>
        <w:t xml:space="preserve">全部货物供货完成并经</w:t>
      </w:r>
      <w:r>
        <w:rPr>
          <w:rFonts w:hint="eastAsia" w:ascii="宋体" w:hAnsi="宋体" w:eastAsia="宋体" w:cs="宋体"/>
          <w:color w:val="auto"/>
          <w:sz w:val="24"/>
          <w:szCs w:val="24"/>
          <w:highlight w:val="none"/>
          <w:u w:val="single"/>
        </w:rPr>
        <w:t xml:space="preserve">验收合格后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15日内退还</w:t>
      </w:r>
      <w:r>
        <w:rPr>
          <w:rFonts w:hint="eastAsia" w:ascii="宋体" w:hAnsi="宋体" w:eastAsia="宋体" w:cs="宋体"/>
          <w:bCs/>
          <w:color w:val="auto"/>
          <w:sz w:val="24"/>
          <w:szCs w:val="24"/>
          <w:highlight w:val="none"/>
          <w:u w:val="single"/>
          <w:lang w:val="en-US" w:eastAsia="zh-CN" w:bidi="ar-SA"/>
        </w:rPr>
        <w:t xml:space="preserve">。</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4.合同验收</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（1）验收组织方式：</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自行组织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委托第三方组织</w:t>
      </w:r>
      <w:r/>
    </w:p>
    <w:p>
      <w:pPr>
        <w:numPr>
          <w:ilvl w:val="0"/>
          <w:numId w:val="0"/>
        </w:num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验收主体：</w:t>
      </w:r>
      <w:r>
        <w:rPr>
          <w:rFonts w:hint="eastAsia" w:ascii="宋体" w:hAnsi="宋体" w:eastAsia="宋体" w:cs="宋体"/>
          <w:bCs/>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是否邀请本项目的其他供应商参加验收：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是否邀请专家参加验收：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是否邀请服务对象参加验收：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是否邀请第三方检测机构参加验收：</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是否进行抽查检测：</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是，抽查比例：</w:t>
      </w:r>
      <w:r>
        <w:rPr>
          <w:rFonts w:hint="eastAsia" w:ascii="宋体" w:hAnsi="宋体" w:eastAsia="宋体" w:cs="宋体"/>
          <w:bCs/>
          <w:color w:val="auto"/>
          <w:sz w:val="24"/>
          <w:szCs w:val="24"/>
          <w:highlight w:val="none"/>
          <w:u w:val="single"/>
          <w:lang w:val="en-US" w:eastAsia="zh-CN" w:bidi="ar-SA"/>
        </w:rPr>
        <w:t xml:space="preserve">按甲方要求</w:t>
      </w:r>
      <w:r>
        <w:rPr>
          <w:rFonts w:hint="eastAsia" w:ascii="宋体" w:hAnsi="宋体" w:eastAsia="宋体" w:cs="宋体"/>
          <w:bCs/>
          <w:color w:val="auto"/>
          <w:sz w:val="24"/>
          <w:szCs w:val="24"/>
          <w:highlight w:val="none"/>
          <w:lang w:val="en-US" w:eastAsia="zh-CN" w:bidi="ar-SA"/>
        </w:rPr>
        <w:t xml:space="preserve">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是否存在破坏性检测：</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是</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验收组织的其他事项：</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（2）履约验收时间：</w:t>
      </w:r>
      <w:r>
        <w:rPr>
          <w:rFonts w:hint="eastAsia" w:ascii="宋体" w:hAnsi="宋体" w:eastAsia="宋体" w:cs="宋体"/>
          <w:bCs/>
          <w:color w:val="auto"/>
          <w:sz w:val="24"/>
          <w:szCs w:val="24"/>
          <w:highlight w:val="none"/>
          <w:u w:val="single"/>
          <w:lang w:val="en-US" w:eastAsia="zh-CN" w:bidi="ar-SA"/>
        </w:rPr>
        <w:t xml:space="preserve">采购人依法组织验收</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（3）履约验收方式：</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一次性验收        </w:t>
      </w: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none"/>
          <w:lang w:val="en-US" w:eastAsia="zh-CN" w:bidi="ar-SA"/>
        </w:rPr>
        <w:t xml:space="preserve">（4）履约验收程序：</w:t>
      </w:r>
      <w:r>
        <w:rPr>
          <w:rFonts w:hint="eastAsia" w:ascii="宋体" w:hAnsi="宋体" w:eastAsia="宋体" w:cs="宋体"/>
          <w:bCs/>
          <w:color w:val="auto"/>
          <w:sz w:val="24"/>
          <w:szCs w:val="24"/>
          <w:highlight w:val="none"/>
          <w:u w:val="single"/>
          <w:lang w:val="en-US" w:eastAsia="zh-CN"/>
        </w:rPr>
        <w:t xml:space="preserve">详见招标文件</w:t>
      </w:r>
      <w:r>
        <w:rPr>
          <w:rFonts w:hint="eastAsia" w:ascii="宋体" w:hAnsi="宋体" w:eastAsia="宋体" w:cs="宋体"/>
          <w:bCs/>
          <w:color w:val="auto"/>
          <w:sz w:val="24"/>
          <w:szCs w:val="24"/>
          <w:highlight w:val="none"/>
          <w:u w:val="single"/>
          <w:lang w:val="en-US" w:eastAsia="zh-CN" w:bidi="ar-SA"/>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（5）履约验收标准：</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1、甲方以招标文件、乙方的投标文件、承诺、合同为依据，成立验收小组，负责对项目进行全面的验收。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2、货物的验收包括：数量、外观、质量、性能、包装等；所有设备和附（配）件应符合其规定的性能，无瑕疵和缺陷，质量为合格产品。乙方对质量问题负责包退、包换和包修，因此发生的费用由乙方自行负责。</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4、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5、货物到达甲方指定地点并安装、调试工作完成后，通知甲方，由甲方根据相关部门规定的验收方案，严格按照有关要求及标准，对整个项目进行验收；交付使用时要同时向甲方提供详细的技术文件、调试报告、安装记录、原厂保修卡、随机资料及配件。</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7、乙方按合同约定履约完成全部项目，并满足使用要求，须及时向甲方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u w:val="none"/>
          <w:lang w:val="en-US" w:eastAsia="zh-CN" w:bidi="ar-SA"/>
        </w:rPr>
        <w:t xml:space="preserve">（6）是否以采购活动中供应商提供的样品作为参考：</w:t>
      </w:r>
      <w:r>
        <w:rPr>
          <w:rFonts w:ascii="Wingdings" w:hAnsi="Wingdings" w:eastAsia="Wingdings" w:cs="Wingdings"/>
          <w:color w:val="auto"/>
          <w:sz w:val="24"/>
          <w:szCs w:val="24"/>
          <w:highlight w:val="none"/>
          <w:lang w:val="en-US" w:eastAsia="zh-CN" w:bidi="ar-SA"/>
        </w:rPr>
        <w:t xml:space="preserve">þ</w:t>
      </w:r>
      <w:r>
        <w:rPr>
          <w:rFonts w:hint="eastAsia" w:ascii="宋体" w:hAnsi="宋体" w:eastAsia="宋体" w:cs="宋体"/>
          <w:bCs/>
          <w:color w:val="auto"/>
          <w:sz w:val="24"/>
          <w:szCs w:val="24"/>
          <w:highlight w:val="none"/>
          <w:lang w:val="en-US" w:eastAsia="zh-CN" w:bidi="ar-SA"/>
        </w:rPr>
        <w:t xml:space="preserve">是  </w:t>
      </w:r>
      <w:r>
        <w:rPr>
          <w:rFonts w:ascii="Wingdings" w:hAnsi="Wingdings" w:eastAsia="Wingdings" w:cs="Wingding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否</w:t>
      </w:r>
      <w:r/>
    </w:p>
    <w:p>
      <w:pPr>
        <w:ind w:firstLine="480"/>
        <w:keepLines w:val="0"/>
        <w:keepNext w:val="0"/>
        <w:pageBreakBefore w:val="0"/>
        <w:spacing w:before="0" w:line="360" w:lineRule="auto"/>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（7）履约验收其他事项：</w:t>
      </w:r>
      <w:r>
        <w:rPr>
          <w:rFonts w:hint="eastAsia" w:ascii="宋体" w:hAnsi="宋体" w:eastAsia="宋体" w:cs="宋体"/>
          <w:bCs/>
          <w:color w:val="auto"/>
          <w:sz w:val="24"/>
          <w:szCs w:val="24"/>
          <w:highlight w:val="none"/>
          <w:u w:val="single"/>
          <w:lang w:val="en-US" w:eastAsia="zh-CN" w:bidi="ar-SA"/>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5.组成合同的文件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本协议书与下列文件一起构成合同文件，如下述文件之间有任何抵触、矛盾或歧义，应按以下顺序解释：</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（1）政府采购合同协议书及其变更、补充协议</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（2）政府采购合同专用条款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（3）政府采购合同通用条款</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（5）投标（响应）文件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（6）招标文件</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（7）有关技术文件，图纸</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6.合同生效</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本合同自</w:t>
      </w:r>
      <w:r>
        <w:rPr>
          <w:rFonts w:hint="eastAsia" w:ascii="宋体" w:hAnsi="宋体" w:eastAsia="宋体" w:cs="宋体"/>
          <w:color w:val="auto"/>
          <w:sz w:val="24"/>
          <w:szCs w:val="24"/>
          <w:highlight w:val="none"/>
          <w:u w:val="single"/>
          <w:lang w:val="en-US" w:eastAsia="zh-CN" w:bidi="ar-SA"/>
        </w:rPr>
        <w:t xml:space="preserve"> 双方签字盖章后 </w:t>
      </w:r>
      <w:r>
        <w:rPr>
          <w:rFonts w:hint="eastAsia" w:ascii="宋体" w:hAnsi="宋体" w:eastAsia="宋体" w:cs="宋体"/>
          <w:color w:val="auto"/>
          <w:sz w:val="24"/>
          <w:szCs w:val="24"/>
          <w:highlight w:val="none"/>
          <w:lang w:val="en-US" w:eastAsia="zh-CN" w:bidi="ar-SA"/>
        </w:rPr>
        <w:t xml:space="preserve">生效。</w:t>
      </w:r>
      <w:r/>
    </w:p>
    <w:p>
      <w:pPr>
        <w:numPr>
          <w:ilvl w:val="0"/>
          <w:numId w:val="0"/>
        </w:numPr>
        <w:ind w:firstLine="482"/>
        <w:keepLines w:val="0"/>
        <w:keepNext w:val="0"/>
        <w:pageBreakBefore w:val="0"/>
        <w:spacing w:before="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7.合同份数</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本合同一式</w:t>
      </w:r>
      <w:r>
        <w:rPr>
          <w:rFonts w:hint="eastAsia" w:ascii="宋体" w:hAnsi="宋体" w:eastAsia="宋体" w:cs="宋体"/>
          <w:color w:val="auto"/>
          <w:sz w:val="24"/>
          <w:szCs w:val="24"/>
          <w:highlight w:val="none"/>
          <w:u w:val="single"/>
          <w:lang w:val="en-US" w:eastAsia="zh-CN" w:bidi="ar-SA"/>
        </w:rPr>
        <w:t xml:space="preserve"> 陆 </w:t>
      </w:r>
      <w:r>
        <w:rPr>
          <w:rFonts w:hint="eastAsia" w:ascii="宋体" w:hAnsi="宋体" w:eastAsia="宋体" w:cs="宋体"/>
          <w:color w:val="auto"/>
          <w:sz w:val="24"/>
          <w:szCs w:val="24"/>
          <w:highlight w:val="none"/>
          <w:lang w:val="en-US" w:eastAsia="zh-CN" w:bidi="ar-SA"/>
        </w:rPr>
        <w:t xml:space="preserve">份，甲方执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eastAsia="宋体" w:cs="宋体"/>
          <w:color w:val="auto"/>
          <w:sz w:val="24"/>
          <w:szCs w:val="24"/>
          <w:highlight w:val="none"/>
          <w:u w:val="single"/>
          <w:lang w:val="en-US" w:eastAsia="zh-CN" w:bidi="ar-SA"/>
        </w:rPr>
        <w:t xml:space="preserve"> 叁 </w:t>
      </w:r>
      <w:r>
        <w:rPr>
          <w:rFonts w:hint="eastAsia" w:ascii="宋体" w:hAnsi="宋体" w:eastAsia="宋体" w:cs="宋体"/>
          <w:color w:val="auto"/>
          <w:sz w:val="24"/>
          <w:szCs w:val="24"/>
          <w:highlight w:val="none"/>
          <w:lang w:val="en-US" w:eastAsia="zh-CN" w:bidi="ar-SA"/>
        </w:rPr>
        <w:t xml:space="preserve">份，均具有同等法律效力。</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合同订立时间：</w:t>
      </w:r>
      <w:r>
        <w:rPr>
          <w:rFonts w:hint="eastAsia" w:ascii="宋体" w:hAnsi="宋体" w:eastAsia="宋体" w:cs="宋体"/>
          <w:color w:val="auto"/>
          <w:sz w:val="24"/>
          <w:szCs w:val="24"/>
          <w:highlight w:val="none"/>
          <w:u w:val="single"/>
          <w:lang w:val="en-US" w:eastAsia="zh-CN" w:bidi="ar-SA"/>
        </w:rPr>
        <w:t xml:space="preserve"> 2026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灌云县教育局    </w:t>
      </w:r>
      <w:r/>
    </w:p>
    <w:p>
      <w:pPr>
        <w:ind w:firstLine="480"/>
        <w:keepLines w:val="0"/>
        <w:keepNext w:val="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附件：具体标的及其</w:t>
      </w:r>
      <w:r>
        <w:rPr>
          <w:rFonts w:hint="eastAsia" w:ascii="宋体" w:hAnsi="宋体" w:eastAsia="宋体" w:cs="宋体"/>
          <w:color w:val="auto"/>
          <w:sz w:val="24"/>
          <w:szCs w:val="24"/>
          <w:highlight w:val="none"/>
          <w:u w:val="none"/>
          <w:lang w:val="en-US" w:eastAsia="zh-CN" w:bidi="ar-SA"/>
        </w:rPr>
        <w:t xml:space="preserve">技术要求和商务要求</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br w:type="page" w:clear="all"/>
      </w:r>
      <w:r/>
    </w:p>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33"/>
        <w:gridCol w:w="2146"/>
        <w:gridCol w:w="2297"/>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ind w:firstLine="115"/>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注：涉及联合体或其他合同主体的信息应按上表格式加列。</w:t>
            </w:r>
            <w:r/>
          </w:p>
        </w:tc>
      </w:tr>
    </w:tbl>
    <w:p>
      <w:pPr>
        <w:jc w:val="center"/>
        <w:keepLines/>
        <w:keepNext/>
        <w:spacing w:before="156"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u w:val="single"/>
          <w:lang w:val="en-US" w:eastAsia="zh-CN" w:bidi="ar-SA"/>
        </w:rPr>
        <w:br w:type="page" w:clear="all"/>
      </w:r>
      <w:bookmarkStart w:id="17" w:name="_Toc27624"/>
      <w:r>
        <w:rPr>
          <w:rFonts w:hint="eastAsia" w:ascii="宋体" w:hAnsi="宋体" w:eastAsia="宋体" w:cs="宋体"/>
          <w:b w:val="0"/>
          <w:bCs w:val="0"/>
          <w:color w:val="auto"/>
          <w:sz w:val="24"/>
          <w:szCs w:val="24"/>
          <w:highlight w:val="none"/>
          <w:lang w:val="en-US" w:eastAsia="zh-CN" w:bidi="ar-SA"/>
        </w:rPr>
        <w:t xml:space="preserve">第二节 政府采购合同通用条款</w:t>
      </w:r>
      <w:bookmarkEnd w:id="17"/>
      <w:r/>
      <w:r/>
    </w:p>
    <w:p>
      <w:pPr>
        <w:ind w:firstLine="482"/>
        <w:jc w:val="left"/>
        <w:pageBreakBefore w:val="0"/>
        <w:spacing w:line="360" w:lineRule="auto"/>
        <w:tabs>
          <w:tab w:val="left" w:pos="8820" w:leader="none"/>
          <w:tab w:val="left" w:pos="9345" w:leader="none"/>
          <w:tab w:val="left" w:pos="9765"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 </w:t>
      </w:r>
      <w:r>
        <w:rPr>
          <w:rFonts w:hint="eastAsia" w:ascii="宋体" w:hAnsi="宋体" w:eastAsia="宋体" w:cs="宋体"/>
          <w:b/>
          <w:bCs/>
          <w:color w:val="auto"/>
          <w:sz w:val="24"/>
          <w:szCs w:val="24"/>
          <w:highlight w:val="none"/>
          <w:lang w:val="en-US" w:eastAsia="zh-CN" w:bidi="ar-SA"/>
        </w:rPr>
        <w:t xml:space="preserve">定义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1.1合同当事人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（1）采购人（以下称甲方）是指使用财政性资金，通过政府采购方式向供应商购买货物及其相关服务的国家机关、事业单位、团体组织。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（3）其他合同主体是指除采购人和供应商以外，</w:t>
      </w:r>
      <w:r>
        <w:rPr>
          <w:rFonts w:hint="eastAsia" w:ascii="宋体" w:hAnsi="宋体" w:eastAsia="宋体" w:cs="宋体"/>
          <w:bCs/>
          <w:color w:val="auto"/>
          <w:sz w:val="24"/>
          <w:szCs w:val="24"/>
          <w:highlight w:val="none"/>
          <w:lang w:val="en-US" w:eastAsia="zh-CN" w:bidi="ar-SA"/>
        </w:rPr>
        <w:t xml:space="preserve">依法参与合同缔结或履行，享有权利、承担义务的合同当事人</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1.2本合同下列术语应解释为：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（1）“合同”系指</w:t>
      </w:r>
      <w:r>
        <w:rPr>
          <w:rFonts w:hint="eastAsia" w:ascii="宋体" w:hAnsi="宋体" w:eastAsia="宋体" w:cs="宋体"/>
          <w:bCs/>
          <w:color w:val="auto"/>
          <w:sz w:val="24"/>
          <w:szCs w:val="24"/>
          <w:highlight w:val="none"/>
          <w:lang w:val="en-US" w:eastAsia="zh-CN" w:bidi="ar-SA"/>
        </w:rPr>
        <w:t xml:space="preserve">合同当事人意思表示达成一致的任何协议，包括签署的</w:t>
      </w:r>
      <w:r>
        <w:rPr>
          <w:rFonts w:hint="eastAsia" w:ascii="宋体" w:hAnsi="宋体" w:eastAsia="宋体" w:cs="宋体"/>
          <w:color w:val="auto"/>
          <w:sz w:val="24"/>
          <w:szCs w:val="24"/>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bCs w:val="0"/>
          <w:color w:val="auto"/>
          <w:sz w:val="24"/>
          <w:szCs w:val="24"/>
          <w:highlight w:val="none"/>
          <w:lang w:val="en-US" w:eastAsia="zh-CN" w:bidi="ar-SA"/>
        </w:rPr>
        <w:t xml:space="preserve">国家法律、行政法规和规章制度规定或合同约定的作为合同组成部分的其他文件</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（2）“合同价款”系指根据本合同规定乙方在全面履行合同义务后甲方应支付给乙方的价款。</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技术资料和材料等。</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（4）“相关服务”系指根据合同规定，乙方应提供的与货物有关的技术、管理和</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tabs>
          <w:tab w:val="left" w:pos="570" w:leader="none"/>
          <w:tab w:val="left" w:pos="9240" w:leader="none"/>
          <w:tab w:val="left" w:pos="95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（7）其他术语解释，见【</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合同标的及金额</w:t>
      </w:r>
      <w:r/>
    </w:p>
    <w:p>
      <w:pPr>
        <w:ind w:firstLine="480"/>
        <w:jc w:val="left"/>
        <w:pageBreakBefore w:val="0"/>
        <w:spacing w:line="360" w:lineRule="auto"/>
        <w:rPr>
          <w:rFonts w:hint="eastAsia" w:ascii="宋体" w:hAnsi="宋体" w:eastAsia="宋体" w:cs="宋体"/>
          <w:b/>
          <w:bCs/>
          <w:i/>
          <w:i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eastAsia="zh-CN" w:bidi="ar-SA"/>
        </w:rPr>
        <w:t xml:space="preserve">其他</w:t>
      </w:r>
      <w:r>
        <w:rPr>
          <w:rFonts w:hint="eastAsia" w:ascii="宋体" w:hAnsi="宋体" w:eastAsia="宋体" w:cs="宋体"/>
          <w:color w:val="auto"/>
          <w:sz w:val="24"/>
          <w:szCs w:val="24"/>
          <w:highlight w:val="none"/>
          <w:lang w:val="en-US" w:eastAsia="zh-CN" w:bidi="ar-SA"/>
        </w:rPr>
        <w:t xml:space="preserve">任何费用。</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 履行合同的时间、地点和方式</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乙方应当在约定的时间、地点，按照约定方式履行合同。</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 甲方的权利和义务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甲方有权要求乙方对缺陷部分予以修复，并按合同约定享有货物保修及其他合同约定的权利。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甲方应当按照合同约定及时对交付的货物进行验收，</w:t>
      </w:r>
      <w:r>
        <w:rPr>
          <w:rFonts w:hint="eastAsia" w:ascii="宋体" w:hAnsi="宋体" w:eastAsia="宋体" w:cs="宋体"/>
          <w:b w:val="0"/>
          <w:bCs w:val="0"/>
          <w:color w:val="auto"/>
          <w:sz w:val="24"/>
          <w:szCs w:val="24"/>
          <w:highlight w:val="none"/>
          <w:lang w:val="en-US" w:eastAsia="zh-CN" w:bidi="ar-SA"/>
        </w:rPr>
        <w:t xml:space="preserve">未</w:t>
      </w: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约定的期限内对乙方履约提出任何异议或者向乙方作出任何说明的，</w:t>
      </w:r>
      <w:r>
        <w:rPr>
          <w:rFonts w:hint="eastAsia" w:ascii="宋体" w:hAnsi="宋体" w:eastAsia="宋体" w:cs="宋体"/>
          <w:color w:val="auto"/>
          <w:sz w:val="24"/>
          <w:szCs w:val="24"/>
          <w:highlight w:val="none"/>
          <w:lang w:val="en-US" w:eastAsia="zh-CN" w:bidi="ar-SA"/>
        </w:rPr>
        <w:t xml:space="preserve">视为验收通过。</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 甲方应当根据合同约定及时向乙方支付合同价款，不得以内部人员变更、履行内部付款流程等为由，拒绝或迟延支付。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 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约定应由甲方承担的其他义务和责任。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 乙方的权利和义务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 签署合同后，乙方应确定项目负责人（或项目联系人），负责与本合同有关的事务。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5.3乙方有权根据合同约定向甲方收取合同价款。</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5.4国家法律法规规定及</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约定应</w:t>
      </w:r>
      <w:r>
        <w:rPr>
          <w:rFonts w:hint="eastAsia" w:ascii="宋体" w:hAnsi="宋体" w:eastAsia="宋体" w:cs="宋体"/>
          <w:color w:val="auto"/>
          <w:sz w:val="24"/>
          <w:szCs w:val="24"/>
          <w:highlight w:val="none"/>
          <w:lang w:val="en-US" w:eastAsia="zh-CN" w:bidi="ar-SA"/>
        </w:rPr>
        <w:t xml:space="preserve">由乙方承担的其他义务和责任。</w:t>
      </w:r>
      <w:r/>
    </w:p>
    <w:p>
      <w:pPr>
        <w:numPr>
          <w:ilvl w:val="0"/>
          <w:numId w:val="1"/>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 甲乙双方应当按照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约定顺序履行合同义务；如果没有先后顺序的，应当同时履行。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 货物包装、运输、保险和交付要求</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本合同</w:t>
      </w:r>
      <w:r>
        <w:rPr>
          <w:rFonts w:hint="eastAsia" w:ascii="宋体" w:hAnsi="宋体" w:eastAsia="宋体" w:cs="宋体"/>
          <w:bCs/>
          <w:color w:val="auto"/>
          <w:sz w:val="24"/>
          <w:szCs w:val="24"/>
          <w:highlight w:val="none"/>
          <w:lang w:val="en-US" w:eastAsia="zh-CN" w:bidi="ar-SA"/>
        </w:rPr>
        <w:t xml:space="preserve">涉及商品包装、快递包装的，</w:t>
      </w:r>
      <w:r>
        <w:rPr>
          <w:rFonts w:hint="eastAsia" w:ascii="宋体" w:hAnsi="宋体" w:eastAsia="宋体" w:cs="宋体"/>
          <w:color w:val="auto"/>
          <w:sz w:val="24"/>
          <w:szCs w:val="24"/>
          <w:highlight w:val="none"/>
          <w:lang w:val="en-US" w:eastAsia="zh-CN" w:bidi="ar-SA"/>
        </w:rPr>
        <w:t xml:space="preserve">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约定的</w:t>
      </w:r>
      <w:r>
        <w:rPr>
          <w:rFonts w:hint="eastAsia" w:ascii="宋体" w:hAnsi="宋体" w:eastAsia="宋体" w:cs="宋体"/>
          <w:color w:val="auto"/>
          <w:sz w:val="24"/>
          <w:szCs w:val="24"/>
          <w:highlight w:val="none"/>
          <w:lang w:val="en-US" w:eastAsia="zh-CN" w:bidi="ar-SA"/>
        </w:rPr>
        <w:t xml:space="preserve">指定现场。</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 除</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另有约定外，</w:t>
      </w:r>
      <w:r>
        <w:rPr>
          <w:rFonts w:hint="eastAsia" w:ascii="宋体" w:hAnsi="宋体" w:eastAsia="宋体" w:cs="宋体"/>
          <w:color w:val="auto"/>
          <w:sz w:val="24"/>
          <w:szCs w:val="24"/>
          <w:highlight w:val="none"/>
          <w:lang w:val="en-US" w:eastAsia="zh-CN" w:bidi="ar-SA"/>
        </w:rPr>
        <w:t xml:space="preserve">乙方负责办理将货物运抵本合同规定的交货地点，并装卸、交付至甲方的一切运输事项，相关费用应包含在合同价款中。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 货物保险要求按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规定执行</w:t>
      </w:r>
      <w:r>
        <w:rPr>
          <w:rFonts w:hint="eastAsia" w:ascii="宋体" w:hAnsi="宋体" w:eastAsia="宋体" w:cs="宋体"/>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 乙方在运输到达之前应提前通知甲方，并提示货物运输装卸的注意事项，甲方配合乙方做好货物的接收工作。</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 如因包装、运输问题导致货物损毁、丢失或者品质下降，甲方有权要求降价、换货、拒收部分或整批货物，由此产生的费用和损失，均由乙方承担。</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 质量标准和保证</w:t>
      </w:r>
      <w:r/>
    </w:p>
    <w:p>
      <w:pPr>
        <w:ind w:firstLine="480"/>
        <w:jc w:val="left"/>
        <w:pageBreakBefore w:val="0"/>
        <w:spacing w:before="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质量标准</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（2）采用中华人民共和国法定计量单位。</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（3）乙方所提供的货物应符合国家有关安全、环保、卫生的规定。</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保证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规定或乙方书面承诺（两者以较长的为准）的质量保证期内，本保证保持有效。</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（2）在质量保证期内所发现的缺陷，甲方应尽快以书面形式通知乙方。</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（3）乙方收到通知后，应在</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规定的响应时间内以合理的速度免费维修或更换有缺陷的货物或部件。</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 权利瑕疵担保</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乙方保证对其出售的货物享有合法的权利。</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 乙方保证在交付的货物上不存在抵押权等担保物权。</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 如甲方使用上述货物构成对第三人侵权的，则由乙方承担全部责任。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 知识产权保护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乙方对其所销售的货物应当享有知识产权或经权利人合法授权，保证没有侵犯任何第三人的知识产权等权利。</w:t>
      </w:r>
      <w:bookmarkStart w:id="18" w:name="_Hlk163047038"/>
      <w:r>
        <w:rPr>
          <w:rFonts w:hint="eastAsia" w:ascii="宋体" w:hAnsi="宋体" w:eastAsia="宋体" w:cs="宋体"/>
          <w:color w:val="auto"/>
          <w:sz w:val="24"/>
          <w:szCs w:val="24"/>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8"/>
      <w:r>
        <w:rPr>
          <w:rFonts w:hint="eastAsia" w:ascii="宋体" w:hAnsi="宋体" w:eastAsia="宋体" w:cs="宋体"/>
          <w:color w:val="auto"/>
          <w:sz w:val="24"/>
          <w:szCs w:val="24"/>
          <w:highlight w:val="none"/>
          <w:lang w:val="en-US" w:eastAsia="zh-CN" w:bidi="ar-SA"/>
        </w:rPr>
        <w:t xml:space="preserve">。</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 保密义务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中约定。</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合同价款支付</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合同价款支付按照国库集中支付制度及财政管理相关规定执行。</w:t>
      </w:r>
      <w:r/>
    </w:p>
    <w:p>
      <w:pPr>
        <w:ind w:firstLine="480"/>
        <w:jc w:val="both"/>
        <w:keepLines/>
        <w:keepNext/>
        <w:pageBreakBefore w:val="0"/>
        <w:spacing w:before="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4"/>
          <w:szCs w:val="24"/>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4"/>
          <w:szCs w:val="24"/>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】中约定。</w:t>
      </w:r>
      <w:r/>
    </w:p>
    <w:p>
      <w:pPr>
        <w:ind w:firstLine="482"/>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 履约保证金</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乙方应当以支票、汇票、本票或者金融机构、担保机构出具的保函等非现金形式提交。</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如果乙方出现</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b w:val="0"/>
          <w:bCs w:val="0"/>
          <w:color w:val="auto"/>
          <w:sz w:val="24"/>
          <w:szCs w:val="24"/>
          <w:highlight w:val="none"/>
          <w:lang w:val="en-US" w:eastAsia="zh-CN" w:bidi="ar-SA"/>
        </w:rPr>
        <w:t xml:space="preserve">约定情形的</w:t>
      </w:r>
      <w:r>
        <w:rPr>
          <w:rFonts w:hint="eastAsia" w:ascii="宋体" w:hAnsi="宋体" w:eastAsia="宋体" w:cs="宋体"/>
          <w:color w:val="auto"/>
          <w:sz w:val="24"/>
          <w:szCs w:val="24"/>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甲方在项目通过验收后按照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规定支付。</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 </w:t>
      </w:r>
      <w:r>
        <w:rPr>
          <w:rFonts w:hint="eastAsia" w:ascii="宋体" w:hAnsi="宋体" w:eastAsia="宋体" w:cs="宋体"/>
          <w:b/>
          <w:color w:val="auto"/>
          <w:sz w:val="24"/>
          <w:szCs w:val="24"/>
          <w:highlight w:val="none"/>
          <w:lang w:val="en-US" w:eastAsia="zh-CN" w:bidi="ar-SA"/>
        </w:rPr>
        <w:t xml:space="preserve">售后服务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除项目不涉及或采购活动中明确约定无须承担外，乙方还应提供下列服务：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（1）货物的现场移动、安装、调试、启动监督及技术支持；</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（2）提供货物组装和维修所需的专用工具和辅助材料；</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约定的期限内对所有的货物实施运行监督、维修，但前提条件是该服务并不能免除乙方在质量保证期内所承担的义务；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（4）在制造商所在地或指定现场就货物的安装、启动、运营、维护、废弃处置等对甲方操作人员进行培训；</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（5）依照法律、行政法规的规定或者按照</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约定，货物在有效使用年限届满后应予回收的，乙方负有自行或者委托第三人对货物予以回收的义务；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规定由乙方提供的其他服务。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乙方提供的售后服务的费用已包含在合同价款中，甲方不再另行支付。</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 违约责任</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15.1质量瑕疵的违约责任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 w:val="0"/>
          <w:bCs/>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及时修理、重作、更换，并承担由此给甲方造成的损失。</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15.2 迟延交货的违约责任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规定执行。如果涉及公共利益，且赔偿金额无法弥补公共利益损失，甲方可要求继续履行或者采取其他补救措施。</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迟延支付的违约责任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甲方存在迟延支付乙方合同款项的，应当承担</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规定的逾期付款利息。</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15.4其他违约责任根据项目实际需要按</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规定执行。</w:t>
      </w:r>
      <w:r/>
    </w:p>
    <w:p>
      <w:pPr>
        <w:numPr>
          <w:ilvl w:val="0"/>
          <w:numId w:val="2"/>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合同变更、中止与终止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16.1合同的变更</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16.2合同的中止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（1）合同履行过程中因供应商就采购文件、采购过程或结果提起投诉的，甲方认为有必要的，可以中止合同的履行。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（4）甲方不得以行政区划调整、政府换届、机构或者职能调整以及相关责任人更替为由中止合同。</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16.3合同的终止</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（1）合同因有效期限届满而终止；</w:t>
      </w:r>
      <w:r/>
    </w:p>
    <w:p>
      <w:pPr>
        <w:ind w:firstLine="48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（2）乙方未按合同约定履行，构成根本性违约的，甲方有权终止合同，并追究乙方的违约责任。</w:t>
      </w:r>
      <w:r/>
    </w:p>
    <w:p>
      <w:pPr>
        <w:ind w:firstLine="480"/>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w:t>
      </w:r>
      <w:r>
        <w:rPr>
          <w:rFonts w:hint="eastAsia" w:ascii="宋体" w:hAnsi="宋体" w:eastAsia="宋体" w:cs="宋体"/>
          <w:color w:val="auto"/>
          <w:sz w:val="24"/>
          <w:szCs w:val="24"/>
          <w:highlight w:val="none"/>
          <w:lang w:val="en-US" w:eastAsia="zh-CN" w:bidi="ar-SA"/>
        </w:rPr>
        <w:t xml:space="preserve">涉及国家利益、社会公共利益的情形</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17. 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乙方不得将合同转包给其他供应商。涉及合同分包的，乙方应根据采购文件和投标（响应）文件规定进行合同分包。</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18. 不可抗力</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不可抗力是指合同双方不能预见、不能避免且不能克服的客观情况。</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 任何一方对由于不可抗力造成的部分或全部不能履行合同不承担违约责任。但迟延履行后发生不可抗力的，不能免除责任。</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 解决争议的方法</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选择仲裁的，应在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中明确仲裁机构及仲裁地；通过诉讼方式解决的，可以在</w:t>
      </w:r>
      <w:r>
        <w:rPr>
          <w:rFonts w:hint="eastAsia" w:ascii="宋体" w:hAnsi="宋体" w:eastAsia="宋体" w:cs="宋体"/>
          <w:b/>
          <w:bCs/>
          <w:color w:val="auto"/>
          <w:sz w:val="24"/>
          <w:szCs w:val="24"/>
          <w:highlight w:val="none"/>
          <w:lang w:val="en-US" w:eastAsia="zh-CN" w:bidi="ar-SA"/>
        </w:rPr>
        <w:t xml:space="preserve">【政府采购合同专用条款】</w:t>
      </w:r>
      <w:r>
        <w:rPr>
          <w:rFonts w:hint="eastAsia" w:ascii="宋体" w:hAnsi="宋体" w:eastAsia="宋体" w:cs="宋体"/>
          <w:color w:val="auto"/>
          <w:sz w:val="24"/>
          <w:szCs w:val="24"/>
          <w:highlight w:val="none"/>
          <w:lang w:val="en-US" w:eastAsia="zh-CN" w:bidi="ar-SA"/>
        </w:rPr>
        <w:t xml:space="preserve">中进一步约定选择与争议有实际联系的地点的人民法院管辖，但管辖法院的约定不得违反级别管辖和专属管辖的规定。</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 如甲乙双方有争议的事项不影响合同其他部分的履行，在争议解决期间，合同其他部分应当继续履行。</w:t>
      </w:r>
      <w:r/>
    </w:p>
    <w:p>
      <w:pPr>
        <w:ind w:firstLine="482"/>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 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w:t>
      </w:r>
      <w:r>
        <w:rPr>
          <w:rFonts w:hint="eastAsia" w:ascii="宋体" w:hAnsi="宋体" w:eastAsia="宋体" w:cs="宋体"/>
          <w:color w:val="auto"/>
          <w:sz w:val="24"/>
          <w:szCs w:val="24"/>
          <w:highlight w:val="none"/>
          <w:lang w:val="en-GB" w:eastAsia="zh-CN" w:bidi="ar-SA"/>
        </w:rPr>
        <w:t xml:space="preserve">本合同应当按照规定执行政府采购政策。</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eastAsia="zh-CN" w:bidi="ar-SA"/>
        </w:rPr>
        <w:t xml:space="preserve">未按规定要求执行政府采购政策造成损失的</w:t>
      </w:r>
      <w:r>
        <w:rPr>
          <w:rFonts w:hint="eastAsia" w:ascii="宋体" w:hAnsi="宋体" w:eastAsia="宋体" w:cs="宋体"/>
          <w:color w:val="auto"/>
          <w:sz w:val="24"/>
          <w:szCs w:val="24"/>
          <w:highlight w:val="none"/>
          <w:lang w:val="en-US" w:eastAsia="zh-CN" w:bidi="ar-SA"/>
        </w:rPr>
        <w:t xml:space="preserve">，有过错的一方应当承担赔偿责任，双方都有过错的，各自承担相应的责任。</w:t>
      </w:r>
      <w:r/>
    </w:p>
    <w:p>
      <w:pPr>
        <w:ind w:firstLine="480"/>
        <w:jc w:val="both"/>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21. 法律适用</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本合同的订立、生效、解释、履行及与本合同有关的争议解决，均适用法律、行政法规。</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本合同条款与法律、行政法规的强制性规定不一致的，双方当事人应按照法律、行政法规的强制性规定修改本合同的相关条款。</w:t>
      </w:r>
      <w:r/>
    </w:p>
    <w:p>
      <w:pPr>
        <w:numPr>
          <w:ilvl w:val="-1"/>
          <w:numId w:val="0"/>
        </w:numPr>
        <w:ind w:firstLine="482"/>
        <w:jc w:val="left"/>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22. 通知</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80"/>
        <w:jc w:val="both"/>
        <w:pageBreakBefore w:val="0"/>
        <w:spacing w:before="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22.3本合同一方给另一方的通知均应采用书面形式，传真或快递送到本合同中规定的对方的地址和办理签收手续。</w:t>
      </w:r>
      <w:r/>
    </w:p>
    <w:p>
      <w:pPr>
        <w:ind w:firstLine="48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22.4通知以送达之日或通知书中规定的生效之日起生效，两者中以较迟之日为准。</w:t>
      </w:r>
      <w:r/>
    </w:p>
    <w:p>
      <w:pPr>
        <w:numPr>
          <w:ilvl w:val="0"/>
          <w:numId w:val="3"/>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合同未尽事项</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23.1合同未尽事项见</w:t>
      </w:r>
      <w:r>
        <w:rPr>
          <w:rFonts w:hint="eastAsia" w:ascii="宋体" w:hAnsi="宋体" w:eastAsia="宋体" w:cs="宋体"/>
          <w:b/>
          <w:color w:val="auto"/>
          <w:sz w:val="24"/>
          <w:szCs w:val="24"/>
          <w:highlight w:val="none"/>
          <w:lang w:val="en-US" w:eastAsia="zh-CN" w:bidi="ar-SA"/>
        </w:rPr>
        <w:t xml:space="preserve">【政府采购合同专用条款】</w:t>
      </w:r>
      <w:r>
        <w:rPr>
          <w:rFonts w:hint="eastAsia" w:ascii="宋体" w:hAnsi="宋体" w:eastAsia="宋体" w:cs="宋体"/>
          <w:bCs/>
          <w:color w:val="auto"/>
          <w:sz w:val="24"/>
          <w:szCs w:val="24"/>
          <w:highlight w:val="none"/>
          <w:lang w:val="en-US" w:eastAsia="zh-CN" w:bidi="ar-SA"/>
        </w:rPr>
        <w:t xml:space="preserve">。</w:t>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23.2 合同附件与合同正文具有同等的法律效力。</w:t>
      </w:r>
      <w:bookmarkStart w:id="19" w:name="_Toc20313"/>
      <w:r/>
      <w:r/>
    </w:p>
    <w:p>
      <w:pPr>
        <w:ind w:firstLine="480"/>
        <w:jc w:val="left"/>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23.3 甲方保留对合同修改和完善的权利。</w:t>
      </w:r>
      <w:r/>
    </w:p>
    <w:p>
      <w:pPr>
        <w:jc w:val="cente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jc w:val="center"/>
        <w:keepLines/>
        <w:keepNext/>
        <w:spacing w:line="360" w:lineRule="auto"/>
        <w:widowControl w:val="off"/>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第三节 政府采购合同专用条款</w:t>
      </w:r>
      <w:bookmarkEnd w:id="19"/>
      <w:r/>
      <w:r/>
    </w:p>
    <w:tbl>
      <w:tblPr>
        <w:tblStyle w:val="741"/>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联合体具体要求</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不接受联合体</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第1.2（7）项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其他术语解释</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履约验收中甲方提出异议或作出说明的期限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第4.6款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约定甲方承担的其他义务和责任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（1）尊重乙方的正当合法权益，按照合同约定的条件，按时支付款项；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（2）接收货物的义务；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（3）根据合同约定的标准和时间，验收货物的义务；</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第5.4款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约定乙方承担的其他义务和责任</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1、乙方应按招标文件规定的时间向甲方提供使用货物的有关技术资料。</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rPr>
              <w:t xml:space="preserve">必须安排人员参与安装实施，进场安装实施人员在本项目履约期间具有人身意外伤害险；在安装实施中要严格按行业规定进行安装实施，若出现任何安全事故，责任由乙方自行承担。</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5、乙方必须把握项目进度、质量把控、产品验收、包装运输、指导安装、调试及验收等，有实验室设备安装、相关软件运行维护等经验，及时与甲方对接工作，指导项目团队成员认真完成每一项工作。</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第6.1款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履行合同义务的顺序</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指定现场</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灌云县高新区高级中学</w:t>
            </w:r>
            <w:r/>
          </w:p>
        </w:tc>
      </w:tr>
      <w:tr>
        <w:trPr>
          <w:trHeight w:val="502"/>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运输特殊要求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1、使用说明书、质量检验证明书、随配附件和工具以及清单一并附于货物内。</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2、乙方在货物发运手续办理完毕后24小时内或货到甲方48小时前通知甲方，以准备接货。</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3、货物在交付甲方前发生的风险均由乙方负责。</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第7.3款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保险要求</w:t>
            </w:r>
            <w:r/>
          </w:p>
        </w:tc>
        <w:tc>
          <w:tcPr>
            <w:tcW w:w="471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第8.2（1）项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质量保证期</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3年（以验收合格之日起计算）</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第8.2（3）项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货物质量缺陷响应时间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bookmarkStart w:id="20" w:name="auto_fouce_13"/>
            <w:r>
              <w:rPr>
                <w:rFonts w:hint="eastAsia" w:ascii="宋体" w:hAnsi="宋体" w:eastAsia="宋体" w:cs="宋体"/>
                <w:color w:val="auto"/>
                <w:sz w:val="24"/>
                <w:szCs w:val="24"/>
                <w:highlight w:val="none"/>
                <w:lang w:val="en-US" w:eastAsia="zh-CN" w:bidi="ar-SA"/>
              </w:rPr>
              <w:t xml:space="preserve">提供的货物在质保期内因产品本身的质量问题发生损坏，在接到甲方通知后24小时内赶到现场进行检测维修。如设备故障在七个工作日未能维修好，中标人须提供同型号的设备供甲方使用，直至设备维修好后方才取回。如不能维修，由乙方提供性能不低于故障产品的备用产品供甲方使用直至设备维修完成。在质保期内，乙方应对货物出现的质量及安全问题负责处理解决并承担一切费用。</w:t>
            </w:r>
            <w:bookmarkEnd w:id="20"/>
            <w:r>
              <w:rPr>
                <w:rFonts w:hint="eastAsia" w:ascii="宋体" w:hAnsi="宋体" w:eastAsia="宋体" w:cs="宋体"/>
                <w:color w:val="auto"/>
                <w:sz w:val="24"/>
                <w:szCs w:val="24"/>
                <w:highlight w:val="none"/>
                <w:lang w:val="en-US" w:eastAsia="zh-CN" w:bidi="ar-SA"/>
              </w:rPr>
              <w:t xml:space="preserve"> </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ind w:firstLine="0"/>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第11.1款</w:t>
            </w:r>
            <w:r/>
          </w:p>
        </w:tc>
        <w:tc>
          <w:tcPr>
            <w:tcW w:w="2520" w:type="dxa"/>
            <w:vAlign w:val="center"/>
            <w:textDirection w:val="lrTb"/>
            <w:noWrap w:val="false"/>
          </w:tcPr>
          <w:p>
            <w:pPr>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其他应当保密的信息</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第12.2款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合同价款支付时间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7"/>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第13.2款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履约保证金不予退还的情形</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(1)违反合同义务且未承担违约责任；(2)未按时履行违约责任；(3)未能履行与甲方签订的合同，且损失超出履约保证金金额</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第13.3款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履约保证金退还时间</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完成合同范围内的所有内容，并经验收合格后，退还履约保证金。</w:t>
            </w:r>
            <w:r/>
          </w:p>
        </w:tc>
      </w:tr>
      <w:tr>
        <w:trPr>
          <w:trHeight w:val="604"/>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第14.1（3）项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运行监督、维修期限</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同质保期</w:t>
            </w:r>
            <w:r/>
          </w:p>
        </w:tc>
      </w:tr>
      <w:tr>
        <w:trPr>
          <w:trHeight w:val="409"/>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第14.1（5）项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货物回收的约定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第14.1（6）项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乙方提供的其他服务</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应甲方要求，乙方应提供下列服务，所有服务费用已包含在合同总价中。</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1.安装</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1.1乙方必须向甲方提供合同货物所需的材料及技术资料以及组装/维修所需工具。</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1.2乙方已对甲方现场进行详细考察，完全了解现场的状况及环境要求，并承诺不因上述原因对甲方索赔。</w:t>
            </w:r>
            <w:r/>
          </w:p>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第15.1款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修理、重作、更换相关具体规定</w:t>
            </w:r>
            <w:r/>
          </w:p>
        </w:tc>
        <w:tc>
          <w:tcPr>
            <w:tcW w:w="471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乙方对所供货物与技术要求不符负有责任，如经检测证实不符或缺陷存在的，包括潜在的缺陷或使用不合适的材料，甲方可根据本</w:t>
            </w:r>
            <w:r>
              <w:rPr>
                <w:rFonts w:hint="eastAsia" w:ascii="宋体" w:hAnsi="宋体" w:eastAsia="宋体" w:cs="宋体"/>
                <w:color w:val="auto"/>
                <w:sz w:val="24"/>
                <w:szCs w:val="24"/>
                <w:highlight w:val="none"/>
                <w:lang w:val="en-US" w:eastAsia="zh-CN" w:bidi="ar-SA"/>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21" w:name="auto_fouce_16"/>
            <w:r>
              <w:rPr>
                <w:rFonts w:hint="eastAsia" w:ascii="宋体" w:hAnsi="宋体" w:eastAsia="宋体" w:cs="宋体"/>
                <w:color w:val="auto"/>
                <w:sz w:val="24"/>
                <w:szCs w:val="24"/>
                <w:highlight w:val="none"/>
                <w:lang w:val="en-US" w:eastAsia="zh-CN" w:bidi="ar-SA"/>
              </w:rPr>
              <w:t xml:space="preserve">如质保期内同一部件出现三次以上质量问题，乙方除免费更换外需额外支付相当于该部件价值200%的质量处罚金。</w:t>
            </w:r>
            <w:bookmarkEnd w:id="21"/>
            <w:r>
              <w:rPr>
                <w:rFonts w:hint="eastAsia" w:ascii="宋体" w:hAnsi="宋体" w:eastAsia="宋体" w:cs="宋体"/>
                <w:color w:val="auto"/>
                <w:sz w:val="24"/>
                <w:szCs w:val="24"/>
                <w:highlight w:val="none"/>
                <w:lang w:val="en-US" w:eastAsia="zh-CN" w:bidi="ar-SA"/>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第15.2（2）项</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迟延交货赔偿费</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bookmarkStart w:id="22" w:name="auto_fouce_17"/>
            <w:r>
              <w:rPr>
                <w:rFonts w:hint="eastAsia" w:ascii="宋体" w:hAnsi="宋体" w:eastAsia="宋体" w:cs="宋体"/>
                <w:color w:val="auto"/>
                <w:sz w:val="24"/>
                <w:szCs w:val="24"/>
                <w:highlight w:val="none"/>
                <w:u w:val="none"/>
                <w:lang w:val="en-US" w:eastAsia="zh-CN" w:bidi="ar-SA"/>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22"/>
            <w:r/>
            <w:r/>
          </w:p>
        </w:tc>
      </w:tr>
      <w:tr>
        <w:trPr>
          <w:trHeight w:val="556"/>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第15.3款</w:t>
            </w:r>
            <w:r/>
          </w:p>
        </w:tc>
        <w:tc>
          <w:tcPr>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逾期付款利息</w:t>
            </w:r>
            <w:r/>
          </w:p>
        </w:tc>
        <w:tc>
          <w:tcPr>
            <w:tcW w:w="4710" w:type="dxa"/>
            <w:vAlign w:val="center"/>
            <w:textDirection w:val="lrTb"/>
            <w:noWrap w:val="false"/>
          </w:tcPr>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因本合同及合同有关事项发生的争议，按下列第</w:t>
            </w:r>
            <w:r>
              <w:rPr>
                <w:rFonts w:hint="eastAsia" w:ascii="宋体" w:hAnsi="宋体" w:eastAsia="宋体" w:cs="宋体"/>
                <w:b w:val="0"/>
                <w:bCs w:val="0"/>
                <w:iCs/>
                <w:color w:val="auto"/>
                <w:sz w:val="24"/>
                <w:szCs w:val="24"/>
                <w:highlight w:val="none"/>
                <w:u w:val="single"/>
                <w:lang w:val="en-US" w:eastAsia="zh-CN" w:bidi="ar-SA"/>
              </w:rPr>
              <w:t xml:space="preserve"> 2 </w:t>
            </w:r>
            <w:r>
              <w:rPr>
                <w:rFonts w:hint="eastAsia" w:ascii="宋体" w:hAnsi="宋体" w:eastAsia="宋体" w:cs="宋体"/>
                <w:b w:val="0"/>
                <w:bCs w:val="0"/>
                <w:iCs/>
                <w:color w:val="auto"/>
                <w:sz w:val="24"/>
                <w:szCs w:val="24"/>
                <w:highlight w:val="none"/>
                <w:lang w:val="en-US" w:eastAsia="zh-CN" w:bidi="ar-SA"/>
              </w:rPr>
              <w:t xml:space="preserve">种方式解决：</w:t>
            </w:r>
            <w:r/>
          </w:p>
          <w:p>
            <w:pPr>
              <w:jc w:val="left"/>
              <w:spacing w:line="400" w:lineRule="exact"/>
              <w:rPr>
                <w:rFonts w:hint="eastAsia" w:ascii="宋体" w:hAnsi="宋体" w:eastAsia="宋体" w:cs="宋体"/>
                <w:b w:val="0"/>
                <w:bCs w:val="0"/>
                <w:iCs/>
                <w:color w:val="auto"/>
                <w:sz w:val="24"/>
                <w:szCs w:val="24"/>
                <w:highlight w:val="non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（1）向</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仲裁委员会申请仲裁，仲裁地点为</w:t>
            </w:r>
            <w:r>
              <w:rPr>
                <w:rFonts w:hint="eastAsia" w:ascii="宋体" w:hAnsi="宋体" w:eastAsia="宋体" w:cs="宋体"/>
                <w:b w:val="0"/>
                <w:bCs w:val="0"/>
                <w:iCs/>
                <w:color w:val="auto"/>
                <w:sz w:val="24"/>
                <w:szCs w:val="24"/>
                <w:highlight w:val="none"/>
                <w:u w:val="single"/>
                <w:lang w:val="en-US" w:eastAsia="zh-CN" w:bidi="ar-SA"/>
              </w:rPr>
              <w:t xml:space="preserve">/</w:t>
            </w:r>
            <w:r>
              <w:rPr>
                <w:rFonts w:hint="eastAsia" w:ascii="宋体" w:hAnsi="宋体" w:eastAsia="宋体" w:cs="宋体"/>
                <w:b w:val="0"/>
                <w:bCs w:val="0"/>
                <w:iCs/>
                <w:color w:val="auto"/>
                <w:sz w:val="24"/>
                <w:szCs w:val="24"/>
                <w:highlight w:val="none"/>
                <w:lang w:val="en-US" w:eastAsia="zh-CN" w:bidi="ar-SA"/>
              </w:rPr>
              <w:t xml:space="preserve">；</w:t>
            </w:r>
            <w:r/>
          </w:p>
          <w:p>
            <w:pPr>
              <w:ind w:firstLine="0"/>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val="0"/>
                <w:bCs w:val="0"/>
                <w:iCs/>
                <w:color w:val="auto"/>
                <w:sz w:val="24"/>
                <w:szCs w:val="24"/>
                <w:highlight w:val="none"/>
                <w:lang w:val="en-US" w:eastAsia="zh-CN" w:bidi="ar-SA"/>
              </w:rPr>
              <w:t xml:space="preserve">（2）向</w:t>
            </w:r>
            <w:r>
              <w:rPr>
                <w:rFonts w:hint="eastAsia" w:ascii="宋体" w:hAnsi="宋体" w:eastAsia="宋体" w:cs="宋体"/>
                <w:b w:val="0"/>
                <w:bCs w:val="0"/>
                <w:iCs/>
                <w:color w:val="auto"/>
                <w:sz w:val="24"/>
                <w:szCs w:val="24"/>
                <w:highlight w:val="none"/>
                <w:u w:val="single"/>
                <w:lang w:val="en-US" w:eastAsia="zh-CN" w:bidi="ar-SA"/>
              </w:rPr>
              <w:t xml:space="preserve">连云港市灌云县</w:t>
            </w:r>
            <w:r>
              <w:rPr>
                <w:rFonts w:hint="eastAsia" w:ascii="宋体" w:hAnsi="宋体" w:eastAsia="宋体" w:cs="宋体"/>
                <w:b w:val="0"/>
                <w:bCs w:val="0"/>
                <w:iCs/>
                <w:color w:val="auto"/>
                <w:sz w:val="24"/>
                <w:szCs w:val="24"/>
                <w:highlight w:val="none"/>
                <w:lang w:val="en-US" w:eastAsia="zh-CN" w:bidi="ar-SA"/>
              </w:rPr>
              <w:t xml:space="preserve">人民法院起诉。</w:t>
            </w:r>
            <w:r/>
          </w:p>
        </w:tc>
      </w:tr>
      <w:tr>
        <w:trPr>
          <w:trHeight w:val="548"/>
        </w:trPr>
        <w:tc>
          <w:tcPr>
            <w:tcW w:w="1836"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第二节</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第23.1款</w:t>
            </w:r>
            <w:r/>
          </w:p>
        </w:tc>
        <w:tc>
          <w:tcPr>
            <w:tcW w:w="2520"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其他专用条款</w:t>
            </w:r>
            <w:r/>
          </w:p>
        </w:tc>
        <w:tc>
          <w:tcPr>
            <w:tcW w:w="4710" w:type="dxa"/>
            <w:vAlign w:val="center"/>
            <w:textDirection w:val="lrTb"/>
            <w:noWrap w:val="false"/>
          </w:tcPr>
          <w:p>
            <w:pPr>
              <w:jc w:val="both"/>
              <w:keepLines w:val="0"/>
              <w:keepNext w:val="0"/>
              <w:pageBreakBefore w:val="0"/>
              <w:spacing w:after="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751"/>
        <w:ind w:firstLine="480"/>
        <w:jc w:val="left"/>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49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1"/>
        <w:ind w:left="0" w:right="0"/>
        <w:jc w:val="center"/>
        <w:keepLines/>
        <w:keepNext/>
        <w:pageBreakBefore w:val="0"/>
        <w:spacing w:before="0" w:after="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15"/>
      <w:r/>
      <w:r/>
    </w:p>
    <w:p>
      <w:pPr>
        <w:ind w:firstLine="480"/>
        <w:jc w:val="left"/>
        <w:spacing w:line="500" w:lineRule="exact"/>
        <w:rPr>
          <w:rFonts w:hint="eastAsia" w:ascii="宋体" w:hAnsi="宋体" w:eastAsia="宋体" w:cs="宋体"/>
          <w:strike w:val="0"/>
          <w:color w:val="auto"/>
          <w:sz w:val="24"/>
          <w:szCs w:val="24"/>
          <w:highlight w:val="none"/>
        </w:rPr>
      </w:pPr>
      <w:r>
        <w:rPr>
          <w:rFonts w:hint="eastAsia" w:ascii="宋体" w:hAnsi="宋体" w:eastAsia="宋体" w:cs="宋体"/>
          <w:b/>
          <w:bCs/>
          <w:color w:val="auto"/>
          <w:sz w:val="24"/>
          <w:szCs w:val="24"/>
          <w:highlight w:val="none"/>
        </w:rPr>
        <w:t xml:space="preserve">说明：本项目属性为货物，</w:t>
      </w:r>
      <w:r>
        <w:rPr>
          <w:rFonts w:hint="eastAsia" w:ascii="宋体" w:hAnsi="宋体" w:eastAsia="宋体" w:cs="宋体"/>
          <w:b/>
          <w:bCs/>
          <w:strike w:val="0"/>
          <w:color w:val="auto"/>
          <w:sz w:val="24"/>
          <w:szCs w:val="24"/>
          <w:highlight w:val="none"/>
        </w:rPr>
        <w:t xml:space="preserve">采购标的对应的中小企业划分标准所属行业</w:t>
      </w:r>
      <w:r>
        <w:rPr>
          <w:rFonts w:hint="eastAsia" w:ascii="宋体" w:hAnsi="宋体" w:eastAsia="宋体" w:cs="宋体"/>
          <w:b/>
          <w:bCs/>
          <w:strike w:val="0"/>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货物需求清单明细表</w:t>
      </w:r>
      <w:r>
        <w:rPr>
          <w:rFonts w:hint="eastAsia" w:ascii="宋体" w:hAnsi="宋体" w:eastAsia="宋体" w:cs="宋体"/>
          <w:b/>
          <w:bCs/>
          <w:strike w:val="0"/>
          <w:color w:val="auto"/>
          <w:sz w:val="24"/>
          <w:szCs w:val="24"/>
          <w:highlight w:val="none"/>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根据《政府采购需求管理办法》等有关规定，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确定采购需求。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特别提醒：为落实政府采购中实施本国产品标准及相关政策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1.本项目对采购本国产品给予政策支持，具体内容见招标文件“第二章”。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灌云县高新区高级中学</w:t>
      </w:r>
      <w:r>
        <w:rPr>
          <w:rFonts w:hint="eastAsia" w:ascii="宋体" w:hAnsi="宋体" w:eastAsia="宋体" w:cs="宋体"/>
          <w:color w:val="auto"/>
          <w:sz w:val="24"/>
          <w:szCs w:val="24"/>
          <w:highlight w:val="none"/>
        </w:rPr>
        <w:t xml:space="preserve">建设需要，</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理化生实验室、准备室、仪器室等设备器材采购及运输、安装、调试</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项目需求</w:t>
      </w:r>
      <w:r/>
    </w:p>
    <w:p>
      <w:pPr>
        <w:ind w:left="0" w:righ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3" w:name="_Toc139967216"/>
      <w:r/>
      <w:bookmarkStart w:id="24" w:name="_Toc139966432"/>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）货物采购清单</w:t>
      </w:r>
      <w:r>
        <w:rPr>
          <w:rFonts w:hint="eastAsia" w:ascii="宋体" w:hAnsi="宋体" w:eastAsia="宋体" w:cs="宋体"/>
          <w:b/>
          <w:bCs/>
          <w:color w:val="auto"/>
          <w:sz w:val="24"/>
          <w:szCs w:val="24"/>
          <w:highlight w:val="none"/>
          <w:lang w:val="en-US" w:eastAsia="zh-CN"/>
        </w:rPr>
        <w:t xml:space="preserve">汇总表</w:t>
      </w:r>
      <w:r/>
    </w:p>
    <w:tbl>
      <w:tblPr>
        <w:tblStyle w:val="741"/>
        <w:tblW w:w="968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473"/>
        <w:gridCol w:w="2796"/>
        <w:gridCol w:w="986"/>
        <w:gridCol w:w="943"/>
        <w:gridCol w:w="1050"/>
        <w:gridCol w:w="702"/>
      </w:tblGrid>
      <w:tr>
        <w:trPr>
          <w:trHeight w:val="499"/>
        </w:trPr>
        <w:tc>
          <w:tcPr>
            <w:shd w:val="clear" w:color="auto" w:fill="d6dce4"/>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d6dce4"/>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d6dce4"/>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d6dce4"/>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d6dce4"/>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d6dce4"/>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d6dce4"/>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备注</w:t>
            </w:r>
            <w:r/>
          </w:p>
        </w:tc>
      </w:tr>
      <w:tr>
        <w:trPr>
          <w:trHeight w:val="371"/>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7"/>
            <w:tcBorders>
              <w:top w:val="single" w:color="000000" w:sz="4" w:space="0"/>
              <w:left w:val="single" w:color="000000" w:sz="4" w:space="0"/>
              <w:bottom w:val="single" w:color="000000" w:sz="4" w:space="0"/>
              <w:right w:val="single" w:color="000000" w:sz="4" w:space="0"/>
            </w:tcBorders>
            <w:tcW w:w="968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4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（二）货物需求清单明细</w:t>
      </w:r>
      <w:r>
        <w:rPr>
          <w:rFonts w:ascii="SimSun" w:hAnsi="SimSun" w:eastAsia="SimSun" w:cs="SimSun"/>
          <w:b/>
          <w:color w:val="000000"/>
          <w:sz w:val="24"/>
        </w:rPr>
        <w:t xml:space="preserve">（本项目货物需求清单明细表中按单间配置标准列明数量，最终按货物采购清单汇总表的总间数相乘计算总数量。）</w:t>
      </w:r>
      <w:r>
        <w:rPr>
          <w:rFonts w:hint="eastAsia" w:ascii="宋体" w:hAnsi="宋体" w:eastAsia="宋体" w:cs="宋体"/>
          <w:b/>
          <w:bCs/>
          <w:color w:val="auto"/>
          <w:sz w:val="24"/>
          <w:szCs w:val="24"/>
          <w:highlight w:val="none"/>
          <w:lang w:val="en-US" w:eastAsia="zh-CN"/>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1F 2F-A01 A04 1F-A07物理仪器室</w:t>
      </w:r>
      <w:r/>
    </w:p>
    <w:tbl>
      <w:tblPr>
        <w:tblStyle w:val="741"/>
        <w:tblW w:w="98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6"/>
        <w:gridCol w:w="862"/>
        <w:gridCol w:w="6254"/>
        <w:gridCol w:w="670"/>
        <w:gridCol w:w="710"/>
        <w:gridCol w:w="640"/>
      </w:tblGrid>
      <w:tr>
        <w:trPr>
          <w:trHeight w:val="43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358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25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注：包含整室仪器柜组装调试人工费、现场清理、设备运输、安装调试费等综合考虑在投标报价中，不单列。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1F 2F-A02 A05 1F-A08物理准备室</w:t>
      </w:r>
      <w:r/>
    </w:p>
    <w:tbl>
      <w:tblPr>
        <w:tblStyle w:val="741"/>
        <w:tblW w:w="9856"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862"/>
        <w:gridCol w:w="6255"/>
        <w:gridCol w:w="690"/>
        <w:gridCol w:w="690"/>
        <w:gridCol w:w="650"/>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60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3"/>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right w:val="single" w:color="000000" w:sz="4" w:space="0"/>
            </w:tcBorders>
            <w:tcW w:w="65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5"/>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000000" w:sz="4" w:space="0"/>
            </w:tcBorders>
            <w:tcW w:w="6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center"/>
        <w:keepLines w:val="0"/>
        <w:keepNext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整室边台与仪器柜组装调试人工费，现场清理，设备运费，电源线及管材铺设、安装</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调试</w:t>
      </w:r>
      <w:r>
        <w:rPr>
          <w:rFonts w:hint="eastAsia" w:ascii="宋体" w:hAnsi="宋体" w:eastAsia="宋体" w:cs="宋体"/>
          <w:b w:val="0"/>
          <w:bCs w:val="0"/>
          <w:color w:val="auto"/>
          <w:sz w:val="21"/>
          <w:szCs w:val="21"/>
          <w:highlight w:val="none"/>
          <w:lang w:val="en-US" w:eastAsia="zh-CN"/>
        </w:rPr>
        <w:t xml:space="preserve">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1F-A03分段式智能物理吊装实验室</w:t>
      </w:r>
      <w:r/>
    </w:p>
    <w:tbl>
      <w:tblPr>
        <w:tblStyle w:val="741"/>
        <w:tblW w:w="9917" w:type="dxa"/>
        <w:tblInd w:w="-15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255"/>
        <w:gridCol w:w="710"/>
        <w:gridCol w:w="680"/>
        <w:gridCol w:w="690"/>
      </w:tblGrid>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行业</w:t>
            </w:r>
            <w:r/>
          </w:p>
        </w:tc>
      </w:tr>
      <w:tr>
        <w:trPr>
          <w:trHeight w:val="400"/>
        </w:trPr>
        <w:tc>
          <w:tcPr>
            <w:gridSpan w:val="6"/>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25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▲台面包边：</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主体材质为PP材质</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耐酸碱测试不低于1级，能够有效抵御实验过程中各类酸碱试剂的侵蚀与腐蚀。</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5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实验室用陶瓷桌面板：破坏强度≥1300N；耐污染性不低于3级；吸水率平均值≤0.5%；抗釉裂性，无釉裂。</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内侧承重框架：主体材质为聚酰胺(PA)，简支梁缺口冲击强度≥150kJ/m2；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bookmarkStart w:id="25" w:name="OLE_LINK12"/>
            <w:r/>
            <w:bookmarkStart w:id="26" w:name="OLE_LINK5"/>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bookmarkEnd w:id="25"/>
            <w:r/>
            <w:bookmarkEnd w:id="26"/>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rPr>
            </w:pPr>
            <w:r>
              <w:rPr>
                <w:rFonts w:ascii="Arial" w:hAnsi="Arial" w:cs="Arial"/>
                <w:color w:val="auto"/>
                <w:sz w:val="22"/>
                <w:szCs w:val="22"/>
                <w:highlight w:val="none"/>
                <w:shd w:val="clear" w:color="auto" w:fill="ffffff"/>
              </w:rPr>
              <w:t xml:space="preserve">技术服务业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rPr>
                <w:rFonts w:hint="eastAsia" w:ascii="宋体" w:hAnsi="宋体" w:eastAsia="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auto"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auto" w:sz="4" w:space="0"/>
              <w:bottom w:val="single" w:color="auto" w:sz="4" w:space="0"/>
              <w:right w:val="single" w:color="auto"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50"/>
                <w:rFonts w:hint="eastAsia" w:ascii="宋体" w:hAnsi="宋体" w:eastAsia="宋体" w:cs="宋体"/>
                <w:color w:val="auto"/>
                <w:sz w:val="21"/>
                <w:szCs w:val="21"/>
                <w:highlight w:val="none"/>
                <w:lang w:val="en-US" w:eastAsia="zh-CN" w:bidi="ar"/>
              </w:rPr>
              <w:t xml:space="preserve">交换机</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交换容量：672Gbps/6.72Tbps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包转发率：126Mpps</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管理端口：1个 Console 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固定端口：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24*10/100/1000Base-T、以太网端口4*1000Base-XSFP光口</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流量控制：支持802.3x流控及半双工背压流控</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链路聚合：支持GE端口聚合、支持静态聚合、支持动态聚合、支持跨设备聚合</w:t>
            </w:r>
            <w:r>
              <w:rPr>
                <w:rStyle w:val="950"/>
                <w:rFonts w:hint="eastAsia" w:ascii="宋体" w:hAnsi="宋体" w:eastAsia="宋体" w:cs="宋体"/>
                <w:color w:val="auto"/>
                <w:sz w:val="21"/>
                <w:szCs w:val="21"/>
                <w:highlight w:val="none"/>
                <w:lang w:val="en-US" w:eastAsia="zh-CN" w:bidi="ar"/>
              </w:rPr>
              <w:br/>
            </w:r>
            <w:r>
              <w:rPr>
                <w:rStyle w:val="950"/>
                <w:rFonts w:hint="eastAsia" w:ascii="宋体" w:hAnsi="宋体" w:eastAsia="宋体" w:cs="宋体"/>
                <w:color w:val="auto"/>
                <w:sz w:val="21"/>
                <w:szCs w:val="21"/>
                <w:highlight w:val="none"/>
                <w:lang w:val="en-US" w:eastAsia="zh-CN" w:bidi="ar"/>
              </w:rPr>
              <w:t xml:space="preserve">MAC地址表：支持黑洞MAC地址、支持设置端口MAC地址学习最大个数</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0"/>
        </w:trPr>
        <w:tc>
          <w:tcPr>
            <w:gridSpan w:val="6"/>
            <w:tcBorders>
              <w:top w:val="single" w:color="auto" w:sz="4" w:space="0"/>
              <w:left w:val="single" w:color="auto" w:sz="4" w:space="0"/>
              <w:bottom w:val="single" w:color="auto" w:sz="4" w:space="0"/>
              <w:right w:val="single" w:color="auto"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主要辅件有：整室115平矩形钢、三角构件、直角座、龙骨架连接件、吊装挂件、安装连接板等。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3、供电布线：供电线路：模块化设计，每组模块间采用活接式连接，方便安装、检修。采用通用铜芯电线进行系统布线。</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auto"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p>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 连接保护，金属外壳与保护导体端子可靠连接；供电电源的断开，永久连接式设备和多相设备满足需求，应当采用开关或断路器作为断开装置；</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zh-CN"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auto"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25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0"/>
        </w:trPr>
        <w:tc>
          <w:tcPr>
            <w:gridSpan w:val="6"/>
            <w:tcBorders>
              <w:top w:val="single" w:color="000000" w:sz="4" w:space="0"/>
              <w:left w:val="single" w:color="000000" w:sz="4" w:space="0"/>
              <w:bottom w:val="single" w:color="auto" w:sz="4" w:space="0"/>
              <w:right w:val="single" w:color="000000" w:sz="4" w:space="0"/>
            </w:tcBorders>
            <w:tcW w:w="9917"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00"/>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费用与运输：包括教师演示台、学生实验桌、学生实验凳、学生实验椅等；室外通风管道安装；吊装设备安装调试：1）智能集成吊装单元安装；2）系统结构安装调试；3）系统控制安装调试；4）给排水安装调试；5）供电系统安装调试；6）照明系统安装调试；7）网络系统安装调试；8）中控系统调试培训使用；4.电源线及管材铺设等综合考虑在投标报价中，不单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1F-A06 A09物理电学实验室</w:t>
      </w:r>
      <w:r/>
    </w:p>
    <w:tbl>
      <w:tblPr>
        <w:tblStyle w:val="741"/>
        <w:tblW w:w="971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93"/>
        <w:gridCol w:w="662"/>
        <w:gridCol w:w="670"/>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甲醛（mg/m³）：≤0.08；苯（mg/m³）：≤0.06；甲苯（mg/m³）：≤0.15；家具中可迁移有害元素限量要求（mg/kg）：铅Pb≤90、镉Cd≤75、铬Cr≤60、汞Hg≤60、锑Sb≤60、钡Ba≤1000、硒Se≤500、砷As≤25；</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3.台面包边：台面四周边缘采用铝合金进行包边，可减少桌体间机械碰撞。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zh-CN" w:eastAsia="zh-CN" w:bidi="ar"/>
              </w:rPr>
              <w:t xml:space="preserve">▲电源总控台：(1)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3"/>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学生电源实验板</w:t>
            </w:r>
            <w:r/>
          </w:p>
        </w:tc>
        <w:tc>
          <w:tcPr>
            <w:tcBorders>
              <w:top w:val="single" w:color="000000" w:sz="4" w:space="0"/>
              <w:left w:val="single" w:color="000000" w:sz="4" w:space="0"/>
              <w:bottom w:val="single" w:color="auto" w:sz="4" w:space="0"/>
              <w:right w:val="single" w:color="000000"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每张台接受教师演示台的信号控制电源。电源装置安装在实验台电源面板上。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受控低压交流电源3-30V/2A（3V一档）（短路、过载自动保护、自动复位）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低压直流电源：1.25-30V/2A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电压、电流均指针表读出，接线柱输出（电源面板与实验台面之间110º角斜面）；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学生可自控电源；</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5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2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注：包含整室教师演示台、实验椅、学生实验桌、学生实验凳、电源总控台、学生电源实验板设备组装调试人工费，现场清理，设备运输，电源线及管材铺设、安装调试费等综合考虑在投标报价中，不单列。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1F-A10演示实验室</w:t>
      </w:r>
      <w:r/>
    </w:p>
    <w:tbl>
      <w:tblPr>
        <w:tblStyle w:val="741"/>
        <w:tblW w:w="9719" w:type="dxa"/>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40"/>
        <w:gridCol w:w="6038"/>
        <w:gridCol w:w="706"/>
        <w:gridCol w:w="690"/>
        <w:gridCol w:w="703"/>
      </w:tblGrid>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w:t>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行业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3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3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bottom w:val="single" w:color="000000" w:sz="4" w:space="0"/>
              <w:right w:val="single" w:color="auto" w:sz="4" w:space="0"/>
            </w:tcBorders>
            <w:tcW w:w="70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2F-A08物理热学实验室</w:t>
      </w:r>
      <w:r/>
    </w:p>
    <w:tbl>
      <w:tblPr>
        <w:tblStyle w:val="741"/>
        <w:tblW w:w="9599" w:type="dxa"/>
        <w:tblInd w:w="-12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840"/>
        <w:gridCol w:w="6060"/>
        <w:gridCol w:w="688"/>
        <w:gridCol w:w="671"/>
        <w:gridCol w:w="653"/>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06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66"/>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口≥2个,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33"/>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25"/>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34"/>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07"/>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1"/>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9"/>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8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电源线为国标2.5平方铜芯多股电线，符合国家标准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8"/>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auto" w:sz="4" w:space="0"/>
              <w:left w:val="single" w:color="auto"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2F-A03 A06物理力学实验室</w:t>
      </w:r>
      <w:r/>
    </w:p>
    <w:tbl>
      <w:tblPr>
        <w:tblStyle w:val="741"/>
        <w:tblW w:w="9643" w:type="dxa"/>
        <w:tblInd w:w="-17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840"/>
        <w:gridCol w:w="6113"/>
        <w:gridCol w:w="653"/>
        <w:gridCol w:w="661"/>
        <w:gridCol w:w="645"/>
      </w:tblGrid>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11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3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3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1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4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注：包含教师演示台、实验椅、学生实验桌、学生实验凳、电源总控台、学生电源设备组装调试人工费，现场清理，设备运费，电源线及管材铺设、安装调试费等综合考虑在投标报价中，不单列。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3F 4F-A01 A08化学仪器室</w:t>
      </w:r>
      <w:r/>
    </w:p>
    <w:tbl>
      <w:tblPr>
        <w:tblStyle w:val="741"/>
        <w:tblW w:w="9692" w:type="dxa"/>
        <w:tblInd w:w="-2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2"/>
        <w:gridCol w:w="6062"/>
        <w:gridCol w:w="680"/>
        <w:gridCol w:w="661"/>
        <w:gridCol w:w="653"/>
      </w:tblGrid>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0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jc w:val="both"/>
        <w:keepLines w:val="0"/>
        <w:keepNext w:val="0"/>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3F 4F-A02 A07化学准备室</w:t>
      </w:r>
      <w:r/>
    </w:p>
    <w:tbl>
      <w:tblPr>
        <w:tblStyle w:val="741"/>
        <w:tblW w:w="9682"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895"/>
        <w:gridCol w:w="6095"/>
        <w:gridCol w:w="644"/>
        <w:gridCol w:w="653"/>
        <w:gridCol w:w="653"/>
      </w:tblGrid>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auto" w:sz="4" w:space="0"/>
              <w:right w:val="single" w:color="000000"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auto" w:sz="4" w:space="0"/>
              <w:right w:val="single" w:color="000000" w:sz="4" w:space="0"/>
            </w:tcBorders>
            <w:tcW w:w="6095"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auto"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89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6095"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auto" w:sz="4" w:space="0"/>
              <w:bottom w:val="single" w:color="000000" w:sz="4" w:space="0"/>
              <w:right w:val="single" w:color="auto"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准备室电气线路</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5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准备室整室安装调试、现场清运费用，电源线及管材铺设、安装调试费等综合考虑在投标报价中，不单列。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3F-A03分段式智能化学吊装实验室</w:t>
      </w:r>
      <w:r/>
    </w:p>
    <w:tbl>
      <w:tblPr>
        <w:tblStyle w:val="741"/>
        <w:tblW w:w="9732"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08"/>
        <w:gridCol w:w="6193"/>
        <w:gridCol w:w="644"/>
        <w:gridCol w:w="653"/>
        <w:gridCol w:w="671"/>
      </w:tblGrid>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1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gridSpan w:val="6"/>
            <w:tcW w:w="973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W w:w="6193"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193"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p>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▲内侧承重框架：主体材质为聚酰胺(PA)</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简支梁缺口冲击强度≥150kJ/m2</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▲外侧装饰防护部件：主体材质为丙烯腈-丁二烯-苯乙烯共聚物(ABS)；表面电阻≥1.0×1012Ω。</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学生实验凳：(1)邻边垂直度：面板、框架-对角线长度，长度差≤2mm； (2)底脚平稳性：≤2mm； (3)塑料件：耐冷热循环，应无裂纹、鼓泡、变色、起皱；(4)稳定性：凳子任意方向的倾翻试验，无倾翻；(5)强度和耐久性：座面冲击试验，冲击高度≥180mm，冲击次数≥10次，无损；</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numPr>
                <w:ilvl w:val="-1"/>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▲凳面：主体材质为PP材质</w:t>
            </w:r>
            <w:r>
              <w:rPr>
                <w:rFonts w:hint="eastAsia" w:ascii="宋体" w:hAnsi="宋体" w:cs="宋体"/>
                <w:i w:val="0"/>
                <w:iCs w:val="0"/>
                <w:color w:val="auto"/>
                <w:sz w:val="21"/>
                <w:szCs w:val="21"/>
                <w:highlight w:val="none"/>
                <w:u w:val="none"/>
                <w:lang w:val="en-US" w:eastAsia="zh-CN" w:bidi="ar"/>
              </w:rPr>
              <w:t xml:space="preserve">；</w:t>
            </w:r>
            <w:r/>
          </w:p>
          <w:p>
            <w:pPr>
              <w:numPr>
                <w:ilvl w:val="-1"/>
                <w:numId w:val="0"/>
              </w:num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理化生资源教学系统</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持续提供人教版理化生实验教学的相关教学内容，包括同步实验、必做实验、虚拟实验、实验&amp;考试、仪器使用。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1.“同步实验”分学科提供同步实验的视频、实验教学设计、课件以及素材等内容；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2.“必做实验”按照课标规定的基础实验，提供实验视频、实验评分标准以及规范的实验报告；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虚拟实验”按照国家课程标准制作，包含三类视频内容——素材：包含课程标准每个知识点的素材短视频，时长在1-3分钟；教学：匹配人教版的每章节内容，时长5-10分钟，供教师上课直接使用或者选择使用。实验：包含物理化学学生动手实验，时长在3-8分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4.“实验与考试”提供近3-5年的中、高考试题里与实验相关的试题分析，包括试卷分析、实验原题、实验试题解析、相关实验视频以及可拓展的相关试题；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5.“仪器使用”包括理化生学科里常用仪器的使用说明及使用视频；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整个资源系统基于云计算所提供的学科云计算应用。主要包含基础设施服务、系统管理、云存储等功能。基础设施包括云服务器、网络带宽、备份设施等；系统管理包括用户统一认证、权限管理、数据更新；云存储主要是通过分布式计算技术存储结构化数据、多媒体文件、教学课件、教学设计、试题资源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ascii="Arial" w:hAnsi="Arial" w:cs="Arial"/>
                <w:color w:val="auto"/>
                <w:sz w:val="22"/>
                <w:szCs w:val="22"/>
                <w:highlight w:val="none"/>
                <w:shd w:val="clear" w:color="auto" w:fill="ffffff"/>
              </w:rPr>
              <w:t xml:space="preserve">技术服务业</w:t>
            </w:r>
            <w:r/>
          </w:p>
        </w:tc>
      </w:tr>
      <w:tr>
        <w:trPr>
          <w:trHeight w:val="282"/>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19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330"/>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▲多功能移动水槽台：(1) 对触及带电部件的防护，B型试验探棒通过任何孔不应触及带电部件；(2) 发热：试验期间保护装置不应动作,密封剂不应流出，各部位温升手柄,旋钮,抓手和类似部件≤60K；(3) 工作温度下的泄漏电流和电气强度：电气强度承受≥50Hz, ≥500V,历时≥1min不应出现击穿；(4) 机械强度：固体绝缘的易触及部件，应有足够的强度防止锋利工具的刺穿。</w:t>
            </w:r>
            <w:r>
              <w:rPr>
                <w:rFonts w:hint="eastAsia" w:ascii="宋体" w:hAnsi="宋体" w:cs="宋体"/>
                <w:i w:val="0"/>
                <w:iCs w:val="0"/>
                <w:color w:val="auto"/>
                <w:sz w:val="21"/>
                <w:szCs w:val="21"/>
                <w:highlight w:val="none"/>
                <w:u w:val="none"/>
                <w:lang w:val="en-US" w:eastAsia="zh-CN" w:bidi="ar"/>
              </w:rPr>
              <w:t xml:space="preserve">（5）多</w:t>
            </w:r>
            <w:r>
              <w:rPr>
                <w:rFonts w:hint="eastAsia" w:ascii="宋体" w:hAnsi="宋体" w:eastAsia="宋体" w:cs="宋体"/>
                <w:i w:val="0"/>
                <w:iCs w:val="0"/>
                <w:color w:val="auto"/>
                <w:sz w:val="21"/>
                <w:szCs w:val="21"/>
                <w:highlight w:val="none"/>
                <w:u w:val="none"/>
                <w:lang w:val="en-US" w:eastAsia="zh-CN" w:bidi="ar"/>
              </w:rPr>
              <w:t xml:space="preserve">功能移动水槽台-台身：主体材质为PP材质。</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80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80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80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机：选用箱式低噪变频风机，采用数字变频调控，具有噪音低、坚固耐用、风量大等特点。可利用智能化控制系统进行风量调节（随意调节风量大小），控制通风机，联接各风道，能有效排除实验桌及室内的有害腐蚀气体。电机功率为≥5.5KW，转速700~800r/min，流量11500M3/h，全压812Pa。</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通风设备附件</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风机控制线管规格：≥Ø25mm：风机线缆4平方毫米、室外行程通风管道：根据现场实际情况选用φ315mm、φ250mm等规格防腐蚀UPVC管及弯头，管卡采用碳钢制作，表面经镀铬处理，具有耐腐蚀、防火、防锈等功能。</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通风主管道、支管道均采用防腐蚀PVC制作而成，主管道：Ø315mm；通风支管道：Ø250mm、Ø200mm、Ø160mm风道，接口采用专用接口连接。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供电布线：每组模块间采用活接式连接，方便安装、检修。采用通用铜芯电线进行系统布线。</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TCP/IP通讯协议数字化网络电源采用网络IP协议控制方式。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三、通风控制：智能中控器智慧管理控制平台，通风控制采用滑条（进度条）无级调速，转速显示，风速大小有风叶</w:t>
            </w:r>
            <w:r>
              <w:rPr>
                <w:rFonts w:hint="eastAsia" w:ascii="宋体" w:hAnsi="宋体" w:eastAsia="宋体" w:cs="宋体"/>
                <w:i w:val="0"/>
                <w:iCs w:val="0"/>
                <w:color w:val="auto"/>
                <w:sz w:val="21"/>
                <w:szCs w:val="21"/>
                <w:highlight w:val="none"/>
                <w:u w:val="none"/>
                <w:lang w:val="en-US" w:eastAsia="zh-CN" w:bidi="ar"/>
              </w:rPr>
              <w:t xml:space="preserve">动画显示。智能中控器控制变频器来控制适量风机：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智能集成吊装单元（教师）</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830×220mm，主体框架使用≥30×30mm铝合金制作，防腐轻便坚固，外壳使用模具ABS注塑一次成型，有双路电动摇臂升降系统，双路电动升降通风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电动升降通风系统：教师打开通风控制时通风管道自动放下。通风管道为可伸缩两段式，可伸缩管道的前端带有软性的吸风罩，风管的伸缩长度≥500mm，方向任意可调，吸风罩数量≥4套。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W w:w="619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670×220mm，主体框架使用≥30×30mm铝合金制作，防腐轻便坚固，外壳使用模具ABS注塑一次成型，有单路电动摇臂升降系统，单路电动升降通风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电动升降通风系统：教师打开通风控制时通风管道自动放下。通风管道为可伸缩两段式，可伸缩管道的前端带有软性的吸风罩，风管的伸缩长度500mm，方向任意可调，吸风罩数量2套。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网络系统：在智能集成吊装单元里安装有一个8口全千兆交换机，提供网络连接。</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973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499"/>
        </w:trPr>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W w:w="619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产品安装调试、现场清运等费用：包括教师演示台、学生实验桌、学生实验凳、实验椅等；室外通风管道安装；吊装设备安装调试：1）智能集成吊装单元安装；2）系统结构安装调试；3）系统控制安装调试；4）通风系统安装调试；5）给排水安装调试；6）供电系统安装调试；7）照明系统安装调试；8）网络系统安装调试；9）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3F 4F-A04 5F-A05化学药品室</w:t>
      </w:r>
      <w:r/>
    </w:p>
    <w:tbl>
      <w:tblPr>
        <w:tblStyle w:val="741"/>
        <w:tblW w:w="96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297"/>
        <w:gridCol w:w="5779"/>
        <w:gridCol w:w="662"/>
        <w:gridCol w:w="563"/>
        <w:gridCol w:w="698"/>
      </w:tblGrid>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规格：功率≥2.2KW，箱式通风机。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内径尺寸：≥850×950×950，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工作时：噪音≤50分贝,配一体化消声器材、风流量4700-6350m³/h，全压 446-435Pa，转速：950r/min,每小时教室换气次数20次以上，排毒（3-5分钟每次）达到98%。可根据室内环境调节。</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风机开关及漏电保护装置</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三相20A漏电保护开关，0.06s急速断电,主体采用PC阻燃热固性外壳。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风机进出口接头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φ250,PVC材质</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6#通风机弯头</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高级树脂复合材料</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通风管道及安装</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规格：室内、外分别为φ250；φ200，φ110室内主、副管，转接头及室外至楼顶管。（不含通风管道表面包装）</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57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准备室整室安装调试、现场清运、室内外通风设备、安装调试等费用综合考虑在投标报价中，不单列。</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3F-A05化学危化品室</w:t>
      </w:r>
      <w:r/>
    </w:p>
    <w:tbl>
      <w:tblPr>
        <w:tblStyle w:val="741"/>
        <w:tblW w:w="97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841"/>
        <w:gridCol w:w="6329"/>
        <w:gridCol w:w="662"/>
        <w:gridCol w:w="582"/>
        <w:gridCol w:w="644"/>
      </w:tblGrid>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2.易燃品储存柜外壳体全部采用≥1.5mm的冷轧钢板，柜体底座采用≥2.0mm的冷轧钢板,内外表面经酸洗磷化环氧树脂粉末喷涂，烘热固化处理。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易燃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易燃品储存柜移动；前轮后有≥2个手动调节罗杆，方便易燃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1.规格900×510×1850（±5mm)。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2.毒害品储存柜外壳体全部采用≥1.5mm的冷轧钢板，柜体底座采用≥2.0mm的冷轧钢板,内外表面经酸洗磷化环氧树脂粉末喷涂，烘热固化处理。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毒害品储存柜体内胆（上，下、左、右内衬板）全部采用实芯理化板或pp（聚丙烯树脂）板；柜底部设置≥90×50×145mm进风口，进风口底部有不锈钢可调风阀；柜体的底板中部有Φ10mm漏液孔，漏液孔上面盖上60目304#不锈钢网；柜体底部设h=160mm黄沙(防倒）档板，柜体内部最下层留有可以存放≥120mm厚黄沙的填埋腔，用于埋放金属钠、黄磷（白磷）等的易燃物品；柜底装有四个Φ60mm的移动钢轮，便于毒害品储存柜移动；前轮后有≥2个手动调节罗杆，方便毒害品储存柜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柜中部有≥3个三层阶梯式的pp聚丙烯树脂活动搁板一次成型的，每层阶梯板外延边有3mm高的积液盘；下层搁板外沿镶装有H48.5×W16.5（mm）PVC一次成型护栏, 护栏中间嵌有（警示红 ，警示蓝，警示黄）0.5mm厚度的pvc装饰条，可区分碱性，酸性药品和易燃品的存放；每个搁板靠背板处有一排导风口，阶梯高度50mm（包括积液盘的高度）。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柜顶部中间有Φ150mm出风口，柜顶风口内置一个AC220V、50HZ、0.18A轴流风机，最大风量326m³/h、转速2550转/min、环境温度（-10~+70）℃，控制开关设置柜体顶部的右上角，当风机开机前要把柜门下面中间的进风口推置打开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6.隔热材料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柜体应填充具有保温隔热作用的材料，（密度100㎏/m3 ,厚度:40mm）。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7.密封件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柜体门与柜体之间应安装防火膨胀密封件，（柜体门与柜体之间应安装环保热膨胀密封条。当温度为150℃-180℃时密封条局部膨胀，温度达到750℃时密封条全部膨胀，膨胀比例为1:5，以保证储存药品的安全性。）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存储柜上安装的磁锁、机械密码锁等机械锁。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存储柜上安装有电子锁。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机械锁钥匙、电子密码锁密码应由两人分别保管，开启时两人应同时在场。</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180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外形尺寸：H1800×W900×D450（±5mm)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门类型：手动四开门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锁具：四把防腐挂锁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层板：≥2块（可调高度）+≥1块固定隔断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颜色：瓷白色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用途：用于存储酸碱等腐蚀性化学品、普通化学品（非易燃易爆）等。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1、整体材质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柜体：采用≥8mm瓷白色PP（聚丙烯）板制作，具有卓越的耐腐蚀性，经同色焊条无缝焊接处理，保证柜体之坚固及密封性。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柜门：采用≥15mm贴膜PP（聚丙烯）板制作，使用寿命长，质量有保证。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层板：采用瓷白色PP（聚丙烯）板制作，四周有立边。整体设计为活动式，可随意抽取放在合适的隔层，自由组合各层空间，四周立边可获得一定程度的防溢效果。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桥式把手：采用耐酸碱PP（聚丙烯）材质，耐腐蚀性能好。铰链：采用经射出成型的PP（聚丙烯）材料制成，耐腐蚀性能好，外观精美。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专用门吸：采用PP（聚丙烯）材料制成，使用寿命长，质量有保证。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警示标签：柜门贴有醒目的“腐蚀性”警示标示，提醒周围人群注意安全。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PP药品柜</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准备室通风系统</w:t>
            </w:r>
            <w:r/>
          </w:p>
        </w:tc>
        <w:tc>
          <w:tcPr>
            <w:tcBorders>
              <w:top w:val="single" w:color="000000" w:sz="4" w:space="0"/>
              <w:left w:val="single" w:color="000000" w:sz="4" w:space="0"/>
              <w:bottom w:val="single" w:color="000000" w:sz="4" w:space="0"/>
              <w:right w:val="single" w:color="000000" w:sz="4" w:space="0"/>
            </w:tcBorders>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（1）实验通风机：规格：功率190W通风机。电压：220V，工作时：噪音≤65分贝,风流量948m³/h，全压 210Pa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（2）风机开关及漏电保护装置：漏电保护开关，0.06s急速断电,主体采用PC阻燃热固性外壳。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（3）风机进出口接头：φ200,PVC材质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（5）通风管道及安装：规格：采用φ200，φ110室内主、副管，转接头及室外管。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（6）风机控制线：规格：φ25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电气布线：国标铜芯多股电线，UPVC(国标)管，耐压500V。</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气体探测器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一、产品特点：</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、检测精度高，量程可调</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、声光报警，数码显示</w:t>
            </w:r>
            <w:r>
              <w:rPr>
                <w:rStyle w:val="978"/>
                <w:rFonts w:hint="eastAsia" w:ascii="宋体" w:hAnsi="宋体" w:eastAsia="宋体" w:cs="宋体"/>
                <w:color w:val="auto"/>
                <w:sz w:val="21"/>
                <w:szCs w:val="21"/>
                <w:highlight w:val="none"/>
                <w:lang w:val="en-US" w:eastAsia="zh-CN" w:bidi="ar"/>
              </w:rPr>
              <w:t xml:space="preserve">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、两级浓度报警，具有继电器输出功能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、长寿命、高灵敏度、低漂移、工作稳定可靠</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传感器故障自检，</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、检测方式：</w:t>
            </w:r>
            <w:r>
              <w:rPr>
                <w:rStyle w:val="978"/>
                <w:rFonts w:hint="eastAsia" w:ascii="宋体" w:hAnsi="宋体" w:eastAsia="宋体" w:cs="宋体"/>
                <w:color w:val="auto"/>
                <w:sz w:val="21"/>
                <w:szCs w:val="21"/>
                <w:highlight w:val="none"/>
                <w:lang w:val="en-US" w:eastAsia="zh-CN" w:bidi="ar"/>
              </w:rPr>
              <w:t xml:space="preserve"> </w:t>
            </w:r>
            <w:r>
              <w:rPr>
                <w:rStyle w:val="949"/>
                <w:rFonts w:hint="eastAsia" w:ascii="宋体" w:hAnsi="宋体" w:eastAsia="宋体" w:cs="宋体"/>
                <w:color w:val="auto"/>
                <w:sz w:val="21"/>
                <w:szCs w:val="21"/>
                <w:highlight w:val="none"/>
                <w:lang w:val="en-US" w:eastAsia="zh-CN" w:bidi="ar"/>
              </w:rPr>
              <w:t xml:space="preserve">自然扩散</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、防爆方式：隔爆型</w:t>
            </w:r>
            <w:r>
              <w:rPr>
                <w:rStyle w:val="978"/>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二、主要技术参数：</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w:t>
            </w:r>
            <w:r>
              <w:rPr>
                <w:rStyle w:val="949"/>
                <w:rFonts w:hint="eastAsia" w:ascii="宋体" w:hAnsi="宋体" w:eastAsia="宋体" w:cs="宋体"/>
                <w:color w:val="auto"/>
                <w:sz w:val="21"/>
                <w:szCs w:val="21"/>
                <w:highlight w:val="none"/>
                <w:lang w:val="en-US" w:eastAsia="zh-CN" w:bidi="ar"/>
              </w:rPr>
              <w:t xml:space="preserve">、检测气体：可燃，一氧化碳，硫化氢，氧气</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、检测范围：可燃</w:t>
            </w:r>
            <w:r>
              <w:rPr>
                <w:rStyle w:val="978"/>
                <w:rFonts w:hint="eastAsia" w:ascii="宋体" w:hAnsi="宋体" w:eastAsia="宋体" w:cs="宋体"/>
                <w:color w:val="auto"/>
                <w:sz w:val="21"/>
                <w:szCs w:val="21"/>
                <w:highlight w:val="none"/>
                <w:lang w:val="en-US" w:eastAsia="zh-CN" w:bidi="ar"/>
              </w:rPr>
              <w:t xml:space="preserve">0-100%LEL  </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0-1000PPM     </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0-100PPM     </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0-30%VOL </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3</w:t>
            </w:r>
            <w:r>
              <w:rPr>
                <w:rStyle w:val="949"/>
                <w:rFonts w:hint="eastAsia" w:ascii="宋体" w:hAnsi="宋体" w:eastAsia="宋体" w:cs="宋体"/>
                <w:color w:val="auto"/>
                <w:sz w:val="21"/>
                <w:szCs w:val="21"/>
                <w:highlight w:val="none"/>
                <w:lang w:val="en-US" w:eastAsia="zh-CN" w:bidi="ar"/>
              </w:rPr>
              <w:t xml:space="preserve">、检测方式：自由扩散式；</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4</w:t>
            </w:r>
            <w:r>
              <w:rPr>
                <w:rStyle w:val="949"/>
                <w:rFonts w:hint="eastAsia" w:ascii="宋体" w:hAnsi="宋体" w:eastAsia="宋体" w:cs="宋体"/>
                <w:color w:val="auto"/>
                <w:sz w:val="21"/>
                <w:szCs w:val="21"/>
                <w:highlight w:val="none"/>
                <w:lang w:val="en-US" w:eastAsia="zh-CN" w:bidi="ar"/>
              </w:rPr>
              <w:t xml:space="preserve">、检测原理：电化学；</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5</w:t>
            </w:r>
            <w:r>
              <w:rPr>
                <w:rStyle w:val="949"/>
                <w:rFonts w:hint="eastAsia" w:ascii="宋体" w:hAnsi="宋体" w:eastAsia="宋体" w:cs="宋体"/>
                <w:color w:val="auto"/>
                <w:sz w:val="21"/>
                <w:szCs w:val="21"/>
                <w:highlight w:val="none"/>
                <w:lang w:val="en-US" w:eastAsia="zh-CN" w:bidi="ar"/>
              </w:rPr>
              <w:t xml:space="preserve">、低限报警设定值：可燃</w:t>
            </w:r>
            <w:r>
              <w:rPr>
                <w:rStyle w:val="978"/>
                <w:rFonts w:hint="eastAsia" w:ascii="宋体" w:hAnsi="宋体" w:eastAsia="宋体" w:cs="宋体"/>
                <w:color w:val="auto"/>
                <w:sz w:val="21"/>
                <w:szCs w:val="21"/>
                <w:highlight w:val="none"/>
                <w:lang w:val="en-US" w:eastAsia="zh-CN" w:bidi="ar"/>
              </w:rPr>
              <w:t xml:space="preserve">20%LEL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15PPM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19.5%VOL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6</w:t>
            </w:r>
            <w:r>
              <w:rPr>
                <w:rStyle w:val="949"/>
                <w:rFonts w:hint="eastAsia" w:ascii="宋体" w:hAnsi="宋体" w:eastAsia="宋体" w:cs="宋体"/>
                <w:color w:val="auto"/>
                <w:sz w:val="21"/>
                <w:szCs w:val="21"/>
                <w:highlight w:val="none"/>
                <w:lang w:val="en-US" w:eastAsia="zh-CN" w:bidi="ar"/>
              </w:rPr>
              <w:t xml:space="preserve">、高限报警设定值：可燃</w:t>
            </w:r>
            <w:r>
              <w:rPr>
                <w:rStyle w:val="978"/>
                <w:rFonts w:hint="eastAsia" w:ascii="宋体" w:hAnsi="宋体" w:eastAsia="宋体" w:cs="宋体"/>
                <w:color w:val="auto"/>
                <w:sz w:val="21"/>
                <w:szCs w:val="21"/>
                <w:highlight w:val="none"/>
                <w:lang w:val="en-US" w:eastAsia="zh-CN" w:bidi="ar"/>
              </w:rPr>
              <w:t xml:space="preserve">50%LEL</w:t>
            </w:r>
            <w:r>
              <w:rPr>
                <w:rStyle w:val="949"/>
                <w:rFonts w:hint="eastAsia" w:ascii="宋体" w:hAnsi="宋体" w:eastAsia="宋体" w:cs="宋体"/>
                <w:color w:val="auto"/>
                <w:sz w:val="21"/>
                <w:szCs w:val="21"/>
                <w:highlight w:val="none"/>
                <w:lang w:val="en-US" w:eastAsia="zh-CN" w:bidi="ar"/>
              </w:rPr>
              <w:t xml:space="preserve">，一氧化碳</w:t>
            </w:r>
            <w:r>
              <w:rPr>
                <w:rStyle w:val="978"/>
                <w:rFonts w:hint="eastAsia" w:ascii="宋体" w:hAnsi="宋体" w:eastAsia="宋体" w:cs="宋体"/>
                <w:color w:val="auto"/>
                <w:sz w:val="21"/>
                <w:szCs w:val="21"/>
                <w:highlight w:val="none"/>
                <w:lang w:val="en-US" w:eastAsia="zh-CN" w:bidi="ar"/>
              </w:rPr>
              <w:t xml:space="preserve">150PPM</w:t>
            </w:r>
            <w:r>
              <w:rPr>
                <w:rStyle w:val="949"/>
                <w:rFonts w:hint="eastAsia" w:ascii="宋体" w:hAnsi="宋体" w:eastAsia="宋体" w:cs="宋体"/>
                <w:color w:val="auto"/>
                <w:sz w:val="21"/>
                <w:szCs w:val="21"/>
                <w:highlight w:val="none"/>
                <w:lang w:val="en-US" w:eastAsia="zh-CN" w:bidi="ar"/>
              </w:rPr>
              <w:t xml:space="preserve">；硫化氢</w:t>
            </w:r>
            <w:r>
              <w:rPr>
                <w:rStyle w:val="978"/>
                <w:rFonts w:hint="eastAsia" w:ascii="宋体" w:hAnsi="宋体" w:eastAsia="宋体" w:cs="宋体"/>
                <w:color w:val="auto"/>
                <w:sz w:val="21"/>
                <w:szCs w:val="21"/>
                <w:highlight w:val="none"/>
                <w:lang w:val="en-US" w:eastAsia="zh-CN" w:bidi="ar"/>
              </w:rPr>
              <w:t xml:space="preserve">35PPM</w:t>
            </w:r>
            <w:r>
              <w:rPr>
                <w:rStyle w:val="949"/>
                <w:rFonts w:hint="eastAsia" w:ascii="宋体" w:hAnsi="宋体" w:eastAsia="宋体" w:cs="宋体"/>
                <w:color w:val="auto"/>
                <w:sz w:val="21"/>
                <w:szCs w:val="21"/>
                <w:highlight w:val="none"/>
                <w:lang w:val="en-US" w:eastAsia="zh-CN" w:bidi="ar"/>
              </w:rPr>
              <w:t xml:space="preserve">；氧气</w:t>
            </w:r>
            <w:r>
              <w:rPr>
                <w:rStyle w:val="978"/>
                <w:rFonts w:hint="eastAsia" w:ascii="宋体" w:hAnsi="宋体" w:eastAsia="宋体" w:cs="宋体"/>
                <w:color w:val="auto"/>
                <w:sz w:val="21"/>
                <w:szCs w:val="21"/>
                <w:highlight w:val="none"/>
                <w:lang w:val="en-US" w:eastAsia="zh-CN" w:bidi="ar"/>
              </w:rPr>
              <w:t xml:space="preserve">23.5%VOL</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7</w:t>
            </w:r>
            <w:r>
              <w:rPr>
                <w:rStyle w:val="949"/>
                <w:rFonts w:hint="eastAsia" w:ascii="宋体" w:hAnsi="宋体" w:eastAsia="宋体" w:cs="宋体"/>
                <w:color w:val="auto"/>
                <w:sz w:val="21"/>
                <w:szCs w:val="21"/>
                <w:highlight w:val="none"/>
                <w:lang w:val="en-US" w:eastAsia="zh-CN" w:bidi="ar"/>
              </w:rPr>
              <w:t xml:space="preserve">、准确度等级：</w:t>
            </w:r>
            <w:r>
              <w:rPr>
                <w:rStyle w:val="978"/>
                <w:rFonts w:hint="eastAsia" w:ascii="宋体" w:hAnsi="宋体" w:eastAsia="宋体" w:cs="宋体"/>
                <w:color w:val="auto"/>
                <w:sz w:val="21"/>
                <w:szCs w:val="21"/>
                <w:highlight w:val="none"/>
                <w:lang w:val="en-US" w:eastAsia="zh-CN" w:bidi="ar"/>
              </w:rPr>
              <w:t xml:space="preserve">±3%FS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8</w:t>
            </w:r>
            <w:r>
              <w:rPr>
                <w:rStyle w:val="949"/>
                <w:rFonts w:hint="eastAsia" w:ascii="宋体" w:hAnsi="宋体" w:eastAsia="宋体" w:cs="宋体"/>
                <w:color w:val="auto"/>
                <w:sz w:val="21"/>
                <w:szCs w:val="21"/>
                <w:highlight w:val="none"/>
                <w:lang w:val="en-US" w:eastAsia="zh-CN" w:bidi="ar"/>
              </w:rPr>
              <w:t xml:space="preserve">、响应时间：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9</w:t>
            </w:r>
            <w:r>
              <w:rPr>
                <w:rStyle w:val="949"/>
                <w:rFonts w:hint="eastAsia" w:ascii="宋体" w:hAnsi="宋体" w:eastAsia="宋体" w:cs="宋体"/>
                <w:color w:val="auto"/>
                <w:sz w:val="21"/>
                <w:szCs w:val="21"/>
                <w:highlight w:val="none"/>
                <w:lang w:val="en-US" w:eastAsia="zh-CN" w:bidi="ar"/>
              </w:rPr>
              <w:t xml:space="preserve">、重复性：</w:t>
            </w:r>
            <w:r>
              <w:rPr>
                <w:rStyle w:val="978"/>
                <w:rFonts w:hint="eastAsia" w:ascii="宋体" w:hAnsi="宋体" w:eastAsia="宋体" w:cs="宋体"/>
                <w:color w:val="auto"/>
                <w:sz w:val="21"/>
                <w:szCs w:val="21"/>
                <w:highlight w:val="none"/>
                <w:lang w:val="en-US" w:eastAsia="zh-CN" w:bidi="ar"/>
              </w:rPr>
              <w:t xml:space="preserve">≤2%</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10</w:t>
            </w:r>
            <w:r>
              <w:rPr>
                <w:rStyle w:val="949"/>
                <w:rFonts w:hint="eastAsia" w:ascii="宋体" w:hAnsi="宋体" w:eastAsia="宋体" w:cs="宋体"/>
                <w:color w:val="auto"/>
                <w:sz w:val="21"/>
                <w:szCs w:val="21"/>
                <w:highlight w:val="none"/>
                <w:lang w:val="en-US" w:eastAsia="zh-CN" w:bidi="ar"/>
              </w:rPr>
              <w:t xml:space="preserve">、恢复时间：</w:t>
            </w:r>
            <w:r>
              <w:rPr>
                <w:rStyle w:val="978"/>
                <w:rFonts w:hint="eastAsia" w:ascii="宋体" w:hAnsi="宋体" w:eastAsia="宋体" w:cs="宋体"/>
                <w:color w:val="auto"/>
                <w:sz w:val="21"/>
                <w:szCs w:val="21"/>
                <w:highlight w:val="none"/>
                <w:lang w:val="en-US" w:eastAsia="zh-CN" w:bidi="ar"/>
              </w:rPr>
              <w:t xml:space="preserve">≤30s</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11</w:t>
            </w:r>
            <w:r>
              <w:rPr>
                <w:rStyle w:val="949"/>
                <w:rFonts w:hint="eastAsia" w:ascii="宋体" w:hAnsi="宋体" w:eastAsia="宋体" w:cs="宋体"/>
                <w:color w:val="auto"/>
                <w:sz w:val="21"/>
                <w:szCs w:val="21"/>
                <w:highlight w:val="none"/>
                <w:lang w:val="en-US" w:eastAsia="zh-CN" w:bidi="ar"/>
              </w:rPr>
              <w:t xml:space="preserve">、环境温度：－</w:t>
            </w:r>
            <w:r>
              <w:rPr>
                <w:rStyle w:val="978"/>
                <w:rFonts w:hint="eastAsia" w:ascii="宋体" w:hAnsi="宋体" w:eastAsia="宋体" w:cs="宋体"/>
                <w:color w:val="auto"/>
                <w:sz w:val="21"/>
                <w:szCs w:val="21"/>
                <w:highlight w:val="none"/>
                <w:lang w:val="en-US" w:eastAsia="zh-CN" w:bidi="ar"/>
              </w:rPr>
              <w:t xml:space="preserve">40℃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+70℃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12</w:t>
            </w:r>
            <w:r>
              <w:rPr>
                <w:rStyle w:val="949"/>
                <w:rFonts w:hint="eastAsia" w:ascii="宋体" w:hAnsi="宋体" w:eastAsia="宋体" w:cs="宋体"/>
                <w:color w:val="auto"/>
                <w:sz w:val="21"/>
                <w:szCs w:val="21"/>
                <w:highlight w:val="none"/>
                <w:lang w:val="en-US" w:eastAsia="zh-CN" w:bidi="ar"/>
              </w:rPr>
              <w:t xml:space="preserve">、相对湿度：（</w:t>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93</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13</w:t>
            </w:r>
            <w:r>
              <w:rPr>
                <w:rStyle w:val="949"/>
                <w:rFonts w:hint="eastAsia" w:ascii="宋体" w:hAnsi="宋体" w:eastAsia="宋体" w:cs="宋体"/>
                <w:color w:val="auto"/>
                <w:sz w:val="21"/>
                <w:szCs w:val="21"/>
                <w:highlight w:val="none"/>
                <w:lang w:val="en-US" w:eastAsia="zh-CN" w:bidi="ar"/>
              </w:rPr>
              <w:t xml:space="preserve">、工作电压：</w:t>
            </w:r>
            <w:r>
              <w:rPr>
                <w:rStyle w:val="978"/>
                <w:rFonts w:hint="eastAsia" w:ascii="宋体" w:hAnsi="宋体" w:eastAsia="宋体" w:cs="宋体"/>
                <w:color w:val="auto"/>
                <w:sz w:val="21"/>
                <w:szCs w:val="21"/>
                <w:highlight w:val="none"/>
                <w:lang w:val="en-US" w:eastAsia="zh-CN" w:bidi="ar"/>
              </w:rPr>
              <w:t xml:space="preserve">AC220V</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1±15%</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14</w:t>
            </w:r>
            <w:r>
              <w:rPr>
                <w:rStyle w:val="949"/>
                <w:rFonts w:hint="eastAsia" w:ascii="宋体" w:hAnsi="宋体" w:eastAsia="宋体" w:cs="宋体"/>
                <w:color w:val="auto"/>
                <w:sz w:val="21"/>
                <w:szCs w:val="21"/>
                <w:highlight w:val="none"/>
                <w:lang w:val="en-US" w:eastAsia="zh-CN" w:bidi="ar"/>
              </w:rPr>
              <w:t xml:space="preserve">、功耗：</w:t>
            </w:r>
            <w:r>
              <w:rPr>
                <w:rStyle w:val="978"/>
                <w:rFonts w:hint="eastAsia" w:ascii="宋体" w:hAnsi="宋体" w:eastAsia="宋体" w:cs="宋体"/>
                <w:color w:val="auto"/>
                <w:sz w:val="21"/>
                <w:szCs w:val="21"/>
                <w:highlight w:val="none"/>
                <w:lang w:val="en-US" w:eastAsia="zh-CN" w:bidi="ar"/>
              </w:rPr>
              <w:t xml:space="preserve">≤5 W</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15</w:t>
            </w:r>
            <w:r>
              <w:rPr>
                <w:rStyle w:val="949"/>
                <w:rFonts w:hint="eastAsia" w:ascii="宋体" w:hAnsi="宋体" w:eastAsia="宋体" w:cs="宋体"/>
                <w:color w:val="auto"/>
                <w:sz w:val="21"/>
                <w:szCs w:val="21"/>
                <w:highlight w:val="none"/>
                <w:lang w:val="en-US" w:eastAsia="zh-CN" w:bidi="ar"/>
              </w:rPr>
              <w:t xml:space="preserve">、显示方式：液晶显示；</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16</w:t>
            </w:r>
            <w:r>
              <w:rPr>
                <w:rStyle w:val="949"/>
                <w:rFonts w:hint="eastAsia" w:ascii="宋体" w:hAnsi="宋体" w:eastAsia="宋体" w:cs="宋体"/>
                <w:color w:val="auto"/>
                <w:sz w:val="21"/>
                <w:szCs w:val="21"/>
                <w:highlight w:val="none"/>
                <w:lang w:val="en-US" w:eastAsia="zh-CN" w:bidi="ar"/>
              </w:rPr>
              <w:t xml:space="preserve">、调试方式：遥控器（显示型功能）；</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17</w:t>
            </w:r>
            <w:r>
              <w:rPr>
                <w:rStyle w:val="949"/>
                <w:rFonts w:hint="eastAsia" w:ascii="宋体" w:hAnsi="宋体" w:eastAsia="宋体" w:cs="宋体"/>
                <w:color w:val="auto"/>
                <w:sz w:val="21"/>
                <w:szCs w:val="21"/>
                <w:highlight w:val="none"/>
                <w:lang w:val="en-US" w:eastAsia="zh-CN" w:bidi="ar"/>
              </w:rPr>
              <w:t xml:space="preserve">、压力限制：</w:t>
            </w:r>
            <w:r>
              <w:rPr>
                <w:rStyle w:val="978"/>
                <w:rFonts w:hint="eastAsia" w:ascii="宋体" w:hAnsi="宋体" w:eastAsia="宋体" w:cs="宋体"/>
                <w:color w:val="auto"/>
                <w:sz w:val="21"/>
                <w:szCs w:val="21"/>
                <w:highlight w:val="none"/>
                <w:lang w:val="en-US" w:eastAsia="zh-CN" w:bidi="ar"/>
              </w:rPr>
              <w:t xml:space="preserve">86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t xml:space="preserve">106 kPa</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18</w:t>
            </w:r>
            <w:r>
              <w:rPr>
                <w:rStyle w:val="949"/>
                <w:rFonts w:hint="eastAsia" w:ascii="宋体" w:hAnsi="宋体" w:eastAsia="宋体" w:cs="宋体"/>
                <w:color w:val="auto"/>
                <w:sz w:val="21"/>
                <w:szCs w:val="21"/>
                <w:highlight w:val="none"/>
                <w:lang w:val="en-US" w:eastAsia="zh-CN" w:bidi="ar"/>
              </w:rPr>
              <w:t xml:space="preserve">、产品尺寸：≥</w:t>
            </w:r>
            <w:r>
              <w:rPr>
                <w:rStyle w:val="978"/>
                <w:rFonts w:hint="eastAsia" w:ascii="宋体" w:hAnsi="宋体" w:eastAsia="宋体" w:cs="宋体"/>
                <w:color w:val="auto"/>
                <w:sz w:val="21"/>
                <w:szCs w:val="21"/>
                <w:highlight w:val="none"/>
                <w:lang w:val="en-US" w:eastAsia="zh-CN" w:bidi="ar"/>
              </w:rPr>
              <w:t xml:space="preserve">L 180 mm×W 145 mm×H 75 mm</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19</w:t>
            </w:r>
            <w:r>
              <w:rPr>
                <w:rStyle w:val="949"/>
                <w:rFonts w:hint="eastAsia" w:ascii="宋体" w:hAnsi="宋体" w:eastAsia="宋体" w:cs="宋体"/>
                <w:color w:val="auto"/>
                <w:sz w:val="21"/>
                <w:szCs w:val="21"/>
                <w:highlight w:val="none"/>
                <w:lang w:val="en-US" w:eastAsia="zh-CN" w:bidi="ar"/>
              </w:rPr>
              <w:t xml:space="preserve">、防爆标志：</w:t>
            </w:r>
            <w:r>
              <w:rPr>
                <w:rStyle w:val="978"/>
                <w:rFonts w:hint="eastAsia" w:ascii="宋体" w:hAnsi="宋体" w:eastAsia="宋体" w:cs="宋体"/>
                <w:color w:val="auto"/>
                <w:sz w:val="21"/>
                <w:szCs w:val="21"/>
                <w:highlight w:val="none"/>
                <w:lang w:val="en-US" w:eastAsia="zh-CN" w:bidi="ar"/>
              </w:rPr>
              <w:t xml:space="preserve">Ex d ⅡC T6 Gb/Ex tD A21 IP66 T80℃</w:t>
            </w:r>
            <w:r>
              <w:rPr>
                <w:rStyle w:val="949"/>
                <w:rFonts w:hint="eastAsia" w:ascii="宋体" w:hAnsi="宋体" w:eastAsia="宋体" w:cs="宋体"/>
                <w:color w:val="auto"/>
                <w:sz w:val="21"/>
                <w:szCs w:val="21"/>
                <w:highlight w:val="none"/>
                <w:lang w:val="en-US" w:eastAsia="zh-CN" w:bidi="ar"/>
              </w:rPr>
              <w:t xml:space="preserve">；</w:t>
            </w:r>
            <w:r>
              <w:rPr>
                <w:rStyle w:val="978"/>
                <w:rFonts w:hint="eastAsia" w:ascii="宋体" w:hAnsi="宋体" w:eastAsia="宋体" w:cs="宋体"/>
                <w:color w:val="auto"/>
                <w:sz w:val="21"/>
                <w:szCs w:val="21"/>
                <w:highlight w:val="none"/>
                <w:lang w:val="en-US" w:eastAsia="zh-CN" w:bidi="ar"/>
              </w:rPr>
              <w:br/>
            </w:r>
            <w:r>
              <w:rPr>
                <w:rStyle w:val="978"/>
                <w:rFonts w:hint="eastAsia" w:ascii="宋体" w:hAnsi="宋体" w:eastAsia="宋体" w:cs="宋体"/>
                <w:color w:val="auto"/>
                <w:sz w:val="21"/>
                <w:szCs w:val="21"/>
                <w:highlight w:val="none"/>
                <w:lang w:val="en-US" w:eastAsia="zh-CN" w:bidi="ar"/>
              </w:rPr>
              <w:t xml:space="preserve">20</w:t>
            </w:r>
            <w:r>
              <w:rPr>
                <w:rStyle w:val="949"/>
                <w:rFonts w:hint="eastAsia" w:ascii="宋体" w:hAnsi="宋体" w:eastAsia="宋体" w:cs="宋体"/>
                <w:color w:val="auto"/>
                <w:sz w:val="21"/>
                <w:szCs w:val="21"/>
                <w:highlight w:val="none"/>
                <w:lang w:val="en-US" w:eastAsia="zh-CN" w:bidi="ar"/>
              </w:rPr>
              <w:t xml:space="preserve">、防护等级：</w:t>
            </w:r>
            <w:r>
              <w:rPr>
                <w:rStyle w:val="978"/>
                <w:rFonts w:hint="eastAsia" w:ascii="宋体" w:hAnsi="宋体" w:eastAsia="宋体" w:cs="宋体"/>
                <w:color w:val="auto"/>
                <w:sz w:val="21"/>
                <w:szCs w:val="21"/>
                <w:highlight w:val="none"/>
                <w:lang w:val="en-US" w:eastAsia="zh-CN" w:bidi="ar"/>
              </w:rPr>
              <w:t xml:space="preserve">IP66</w:t>
            </w:r>
            <w:r>
              <w:rPr>
                <w:rStyle w:val="949"/>
                <w:rFonts w:hint="eastAsia" w:ascii="宋体" w:hAnsi="宋体" w:eastAsia="宋体" w:cs="宋体"/>
                <w:color w:val="auto"/>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主机控制器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49"/>
                <w:rFonts w:hint="eastAsia" w:ascii="宋体" w:hAnsi="宋体" w:eastAsia="宋体" w:cs="宋体"/>
                <w:color w:val="auto"/>
                <w:sz w:val="21"/>
                <w:szCs w:val="21"/>
                <w:highlight w:val="none"/>
                <w:lang w:val="en-US" w:eastAsia="zh-CN" w:bidi="ar"/>
              </w:rPr>
              <w:t xml:space="preserve">一拖8路</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一、产品特点：</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1、LCD液晶中文显示，简单明了；</w:t>
            </w:r>
            <w:r>
              <w:rPr>
                <w:rStyle w:val="949"/>
                <w:rFonts w:hint="eastAsia" w:ascii="宋体" w:hAnsi="宋体" w:eastAsia="宋体" w:cs="宋体"/>
                <w:color w:val="auto"/>
                <w:sz w:val="21"/>
                <w:szCs w:val="21"/>
                <w:highlight w:val="none"/>
                <w:lang w:val="en-US" w:eastAsia="zh-CN" w:bidi="ar"/>
              </w:rPr>
              <w:br/>
            </w:r>
            <w:r>
              <w:rPr>
                <w:rStyle w:val="949"/>
                <w:rFonts w:hint="eastAsia" w:ascii="宋体" w:hAnsi="宋体" w:eastAsia="宋体" w:cs="宋体"/>
                <w:color w:val="auto"/>
                <w:sz w:val="21"/>
                <w:szCs w:val="21"/>
                <w:highlight w:val="none"/>
                <w:lang w:val="en-US" w:eastAsia="zh-CN" w:bidi="ar"/>
              </w:rPr>
              <w:t xml:space="preserve">2、产品内嵌微处理器，配以丰富的软件功能，完成变送器信号采样、数据实时计算、系统故障检测、电源管理、报警显示、报警外设驱动等功能；</w:t>
            </w:r>
            <w:r>
              <w:rPr>
                <w:rStyle w:val="949"/>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、智能化系统：方便的在线零点校正；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、多路无源继电器触点输出；</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、安装简单，在墙体上固定安装支架，挂上控制器即完成安装</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二、主要技术参数：</w:t>
            </w:r>
            <w:r>
              <w:rPr>
                <w:rStyle w:val="973"/>
                <w:rFonts w:hint="eastAsia" w:ascii="宋体" w:hAnsi="宋体" w:eastAsia="宋体" w:cs="宋体"/>
                <w:color w:val="auto"/>
                <w:sz w:val="21"/>
                <w:szCs w:val="21"/>
                <w:highlight w:val="none"/>
                <w:lang w:val="en-US" w:eastAsia="zh-CN" w:bidi="ar"/>
              </w:rPr>
              <w:br/>
            </w:r>
            <w:r>
              <w:rPr>
                <w:rStyle w:val="973"/>
                <w:rFonts w:hint="eastAsia" w:ascii="宋体" w:hAnsi="宋体" w:eastAsia="宋体" w:cs="宋体"/>
                <w:color w:val="auto"/>
                <w:sz w:val="21"/>
                <w:szCs w:val="21"/>
                <w:highlight w:val="none"/>
                <w:lang w:val="en-US" w:eastAsia="zh-CN" w:bidi="ar"/>
              </w:rPr>
              <w:t xml:space="preserve">1、安装方式：室内型壁挂式；</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2</w:t>
            </w:r>
            <w:r>
              <w:rPr>
                <w:rStyle w:val="973"/>
                <w:rFonts w:hint="eastAsia" w:ascii="宋体" w:hAnsi="宋体" w:eastAsia="宋体" w:cs="宋体"/>
                <w:color w:val="auto"/>
                <w:sz w:val="21"/>
                <w:szCs w:val="21"/>
                <w:highlight w:val="none"/>
                <w:lang w:val="en-US" w:eastAsia="zh-CN" w:bidi="ar"/>
              </w:rPr>
              <w:t xml:space="preserve">、指示方式：液晶显示、声光报警；</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3</w:t>
            </w:r>
            <w:r>
              <w:rPr>
                <w:rStyle w:val="973"/>
                <w:rFonts w:hint="eastAsia" w:ascii="宋体" w:hAnsi="宋体" w:eastAsia="宋体" w:cs="宋体"/>
                <w:color w:val="auto"/>
                <w:sz w:val="21"/>
                <w:szCs w:val="21"/>
                <w:highlight w:val="none"/>
                <w:lang w:val="en-US" w:eastAsia="zh-CN" w:bidi="ar"/>
              </w:rPr>
              <w:t xml:space="preserve">、工作环境温度：－10℃～+50℃；；</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4</w:t>
            </w:r>
            <w:r>
              <w:rPr>
                <w:rStyle w:val="973"/>
                <w:rFonts w:hint="eastAsia" w:ascii="宋体" w:hAnsi="宋体" w:eastAsia="宋体" w:cs="宋体"/>
                <w:color w:val="auto"/>
                <w:sz w:val="21"/>
                <w:szCs w:val="21"/>
                <w:highlight w:val="none"/>
                <w:lang w:val="en-US" w:eastAsia="zh-CN" w:bidi="ar"/>
              </w:rPr>
              <w:t xml:space="preserve">、工作环境湿度：（20～93）%RH；</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5</w:t>
            </w:r>
            <w:r>
              <w:rPr>
                <w:rStyle w:val="973"/>
                <w:rFonts w:hint="eastAsia" w:ascii="宋体" w:hAnsi="宋体" w:eastAsia="宋体" w:cs="宋体"/>
                <w:color w:val="auto"/>
                <w:sz w:val="21"/>
                <w:szCs w:val="21"/>
                <w:highlight w:val="none"/>
                <w:lang w:val="en-US" w:eastAsia="zh-CN" w:bidi="ar"/>
              </w:rPr>
              <w:t xml:space="preserve">、主电电源：AC220V±15%、50Hz±1%；</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6</w:t>
            </w:r>
            <w:r>
              <w:rPr>
                <w:rStyle w:val="973"/>
                <w:rFonts w:hint="eastAsia" w:ascii="宋体" w:hAnsi="宋体" w:eastAsia="宋体" w:cs="宋体"/>
                <w:color w:val="auto"/>
                <w:sz w:val="21"/>
                <w:szCs w:val="21"/>
                <w:highlight w:val="none"/>
                <w:lang w:val="en-US" w:eastAsia="zh-CN" w:bidi="ar"/>
              </w:rPr>
              <w:t xml:space="preserve">、空载功率：≤10W；</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7</w:t>
            </w:r>
            <w:r>
              <w:rPr>
                <w:rStyle w:val="973"/>
                <w:rFonts w:hint="eastAsia" w:ascii="宋体" w:hAnsi="宋体" w:eastAsia="宋体" w:cs="宋体"/>
                <w:color w:val="auto"/>
                <w:sz w:val="21"/>
                <w:szCs w:val="21"/>
                <w:highlight w:val="none"/>
                <w:lang w:val="en-US" w:eastAsia="zh-CN" w:bidi="ar"/>
              </w:rPr>
              <w:t xml:space="preserve">、探测器供电电压：DC24V（1±15%）；</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8</w:t>
            </w:r>
            <w:r>
              <w:rPr>
                <w:rStyle w:val="973"/>
                <w:rFonts w:hint="eastAsia" w:ascii="宋体" w:hAnsi="宋体" w:eastAsia="宋体" w:cs="宋体"/>
                <w:color w:val="auto"/>
                <w:sz w:val="21"/>
                <w:szCs w:val="21"/>
                <w:highlight w:val="none"/>
                <w:lang w:val="en-US" w:eastAsia="zh-CN" w:bidi="ar"/>
              </w:rPr>
              <w:t xml:space="preserve">、备电欠压报警值：DC21V±1V；</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9</w:t>
            </w:r>
            <w:r>
              <w:rPr>
                <w:rStyle w:val="973"/>
                <w:rFonts w:hint="eastAsia" w:ascii="宋体" w:hAnsi="宋体" w:eastAsia="宋体" w:cs="宋体"/>
                <w:color w:val="auto"/>
                <w:sz w:val="21"/>
                <w:szCs w:val="21"/>
                <w:highlight w:val="none"/>
                <w:lang w:val="en-US" w:eastAsia="zh-CN" w:bidi="ar"/>
              </w:rPr>
              <w:t xml:space="preserve">、探测器与主机通讯距离：≤1000m；</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10</w:t>
            </w:r>
            <w:r>
              <w:rPr>
                <w:rStyle w:val="973"/>
                <w:rFonts w:hint="eastAsia" w:ascii="宋体" w:hAnsi="宋体" w:eastAsia="宋体" w:cs="宋体"/>
                <w:color w:val="auto"/>
                <w:sz w:val="21"/>
                <w:szCs w:val="21"/>
                <w:highlight w:val="none"/>
                <w:lang w:val="en-US" w:eastAsia="zh-CN" w:bidi="ar"/>
              </w:rPr>
              <w:t xml:space="preserve">、上传接口：一路RS485上传接口；</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11</w:t>
            </w:r>
            <w:r>
              <w:rPr>
                <w:rStyle w:val="973"/>
                <w:rFonts w:hint="eastAsia" w:ascii="宋体" w:hAnsi="宋体" w:eastAsia="宋体" w:cs="宋体"/>
                <w:color w:val="auto"/>
                <w:sz w:val="21"/>
                <w:szCs w:val="21"/>
                <w:highlight w:val="none"/>
                <w:lang w:val="en-US" w:eastAsia="zh-CN" w:bidi="ar"/>
              </w:rPr>
              <w:t xml:space="preserve">、报警记录：可存储65000条；</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12</w:t>
            </w:r>
            <w:r>
              <w:rPr>
                <w:rStyle w:val="973"/>
                <w:rFonts w:hint="eastAsia" w:ascii="宋体" w:hAnsi="宋体" w:eastAsia="宋体" w:cs="宋体"/>
                <w:color w:val="auto"/>
                <w:sz w:val="21"/>
                <w:szCs w:val="21"/>
                <w:highlight w:val="none"/>
                <w:lang w:val="en-US" w:eastAsia="zh-CN" w:bidi="ar"/>
              </w:rPr>
              <w:t xml:space="preserve">、控制输出接点：2组无源开关量；1组24V脉冲信号；1组AC220V脉冲信号；</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13</w:t>
            </w:r>
            <w:r>
              <w:rPr>
                <w:rStyle w:val="973"/>
                <w:rFonts w:hint="eastAsia" w:ascii="宋体" w:hAnsi="宋体" w:eastAsia="宋体" w:cs="宋体"/>
                <w:color w:val="auto"/>
                <w:sz w:val="21"/>
                <w:szCs w:val="21"/>
                <w:highlight w:val="none"/>
                <w:lang w:val="en-US" w:eastAsia="zh-CN" w:bidi="ar"/>
              </w:rPr>
              <w:t xml:space="preserve">、本机可接收仪器类型：输出信号为（4～20）mA、RS485、两总线信号的气体探测器；</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14</w:t>
            </w:r>
            <w:r>
              <w:rPr>
                <w:rStyle w:val="973"/>
                <w:rFonts w:hint="eastAsia" w:ascii="宋体" w:hAnsi="宋体" w:eastAsia="宋体" w:cs="宋体"/>
                <w:color w:val="auto"/>
                <w:sz w:val="21"/>
                <w:szCs w:val="21"/>
                <w:highlight w:val="none"/>
                <w:lang w:val="en-US" w:eastAsia="zh-CN" w:bidi="ar"/>
              </w:rPr>
              <w:t xml:space="preserve">、报警后，可发出声光报警信号，并保持至手动复位；</w:t>
            </w:r>
            <w:r>
              <w:rPr>
                <w:rStyle w:val="973"/>
                <w:rFonts w:hint="eastAsia" w:ascii="宋体" w:hAnsi="宋体" w:eastAsia="宋体" w:cs="宋体"/>
                <w:color w:val="auto"/>
                <w:sz w:val="21"/>
                <w:szCs w:val="21"/>
                <w:highlight w:val="none"/>
                <w:lang w:val="en-US" w:eastAsia="zh-CN" w:bidi="ar"/>
              </w:rPr>
              <w:br/>
            </w:r>
            <w:r>
              <w:rPr>
                <w:rStyle w:val="974"/>
                <w:rFonts w:hint="eastAsia" w:ascii="宋体" w:hAnsi="宋体" w:eastAsia="宋体" w:cs="宋体"/>
                <w:color w:val="auto"/>
                <w:sz w:val="21"/>
                <w:szCs w:val="21"/>
                <w:highlight w:val="none"/>
                <w:lang w:val="en-US" w:eastAsia="zh-CN" w:bidi="ar"/>
              </w:rPr>
              <w:t xml:space="preserve">15</w:t>
            </w:r>
            <w:r>
              <w:rPr>
                <w:rStyle w:val="973"/>
                <w:rFonts w:hint="eastAsia" w:ascii="宋体" w:hAnsi="宋体" w:eastAsia="宋体" w:cs="宋体"/>
                <w:color w:val="auto"/>
                <w:sz w:val="21"/>
                <w:szCs w:val="21"/>
                <w:highlight w:val="none"/>
                <w:lang w:val="en-US" w:eastAsia="zh-CN" w:bidi="ar"/>
              </w:rPr>
              <w:t xml:space="preserve">、报警声音信号可以手动消音；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高清火焰识别球机</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采用全新AI火焰识别算法，可及时精准识别火苗（30x30像素或以上的即可识别），摄像机现场发出报警声，报警消息实时推送至主人手机APP。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采用全新AI烟雾识别算法，当烟雾浓度达到报警设定值时（30x30像素或以上的即可识别）, 摄像机现场发出报警声，报警消息实时推送至主人手机APP。提醒主人立即采取有效措施,避免事故发生。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最小火焰：30*30，友好火焰：60*60 最小烟雾：30*30 ，友好烟雾：60*60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采用超低照度微光芯片，高清分辨率2560*1440,H.265压缩算法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支持WiFi+网线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5寸专业型金属铝压铸外壳，全天候环境设计，耐高低温，防水等级达到IP66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6颗高亮远射暖光灯，补光距离可达30米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精密电机驱动，反应灵敏，运转平稳，精度偏差少于0.1度，在任何速度下图像无抖动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水平360°连续旋转，无监视盲区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支持多平台：IOS/Andriod/PC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支持看守位、上电动作、空闲动作、4条巡航扫描、轨迹扫描、两点扫描、360度扫描；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标配电源：DC12V-6A                                                                   </w:t>
            </w:r>
            <w:r>
              <w:rPr>
                <w:rFonts w:hint="eastAsia" w:ascii="宋体" w:hAnsi="宋体" w:eastAsia="宋体" w:cs="宋体"/>
                <w:i w:val="0"/>
                <w:iCs w:val="0"/>
                <w:color w:val="auto"/>
                <w:sz w:val="21"/>
                <w:szCs w:val="21"/>
                <w:highlight w:val="none"/>
                <w:u w:val="none"/>
                <w:lang w:val="en-US" w:eastAsia="zh-CN" w:bidi="ar"/>
              </w:rPr>
              <w:t xml:space="preserve">                                                                                                                       99倍变倍，电动变焦，自对聚焦镜头，可随意看近处和远处。                                                                                                             </w:t>
            </w:r>
            <w:r>
              <w:rPr>
                <w:rFonts w:hint="eastAsia" w:ascii="宋体" w:hAnsi="宋体" w:eastAsia="宋体" w:cs="宋体"/>
                <w:i w:val="0"/>
                <w:iCs w:val="0"/>
                <w:color w:val="auto"/>
                <w:sz w:val="21"/>
                <w:szCs w:val="21"/>
                <w:highlight w:val="none"/>
                <w:u w:val="none"/>
                <w:lang w:val="en-US" w:eastAsia="zh-CN" w:bidi="ar"/>
              </w:rPr>
              <w:t xml:space="preserve">             内置拾音器 ，内置喇叭，支持双向语音对讲                                                                                                                                                                                                                               </w:t>
            </w:r>
            <w:r>
              <w:rPr>
                <w:rFonts w:hint="eastAsia" w:ascii="宋体" w:hAnsi="宋体" w:eastAsia="宋体" w:cs="宋体"/>
                <w:i w:val="0"/>
                <w:iCs w:val="0"/>
                <w:color w:val="auto"/>
                <w:sz w:val="21"/>
                <w:szCs w:val="21"/>
                <w:highlight w:val="none"/>
                <w:u w:val="none"/>
                <w:lang w:val="en-US" w:eastAsia="zh-CN" w:bidi="ar"/>
              </w:rPr>
              <w:t xml:space="preserve">                                                                                                                                                                                                                     简便操作应用:设备根据人性化理念开发设计,操作非常简便,设备通电连网后后，下载设备的手</w:t>
            </w:r>
            <w:r>
              <w:rPr>
                <w:rFonts w:hint="eastAsia" w:ascii="宋体" w:hAnsi="宋体" w:eastAsia="宋体" w:cs="宋体"/>
                <w:i w:val="0"/>
                <w:iCs w:val="0"/>
                <w:color w:val="auto"/>
                <w:sz w:val="21"/>
                <w:szCs w:val="21"/>
                <w:highlight w:val="none"/>
                <w:u w:val="none"/>
                <w:lang w:val="en-US" w:eastAsia="zh-CN" w:bidi="ar"/>
              </w:rPr>
              <w:t xml:space="preserve">机客户端软件,打开客户端添加设备独有的ID号码,就可以远程实时观看视频，录像,录像回放,智能抓拍等功能应用。                                                                                                                                                     预置位数量: 256个，巡视组数量: 8组,支持自动巡航，巡航跟踪的话，每条巡航线上可以设置16个预置点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录像存储:支持定时录像/移动侦测报警录像/外部报警促发录像,前端TF卡存储最大256G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网络协议:支持RTSP/FTP/PPPOE/DHCP/DDNS/NTP/UPnP等网络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手机监控:手机客户端监控,手机抓拍,手机录像,前端存储卡录像远程回放( iPhone , Android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通讯协议:私有协议ONVIF协议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防雷保护:电源、网络、POE全面防雷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业务功能:支持WEB配置,支持OSD，支持实时视频传输，支持移动侦,支持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远程监控软件、P2P平台等系统应用:可提供完善的SDK开发包                                                                                                                工作温度范围：-20~50°   </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灭火毯</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尺寸规格 1.5mx1.5m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主要作用 用于灭火覆盖在着火物体表面直至火焰完全熄灭冷却</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干粉灭火器</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容量：5kg  附带压力表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使用温度-40℃-+70℃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工作压力：0.5MPa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喷射距离≥2米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灭火级别：A级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瓶体材质：碳钢</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防漏液托盘（桌面式）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尺寸：≥33.5*33.5*6cm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静载：50公斤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渗漏量：4L（无排污口）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防漏液托盘（单桶式）</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尺寸：≥60*60*15cm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静载：0.7吨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渗漏量：18L（无排污口）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适合实验室危化品防渗漏，PP滚塑工艺，耐酸碱腐蚀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液体收集桶</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尺寸：≥30*23*45cm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容量：≥18L</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注：包含准备室整室易燃品储存柜、毒害品储存柜、酸碱柜、PP药品柜等设备组装调试人工费、现场清运费、安装调试费等综合考虑在投标报价中，不单列。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3F-A09综合实验室</w:t>
      </w:r>
      <w:r/>
    </w:p>
    <w:tbl>
      <w:tblPr>
        <w:tblStyle w:val="741"/>
        <w:tblW w:w="9830" w:type="dxa"/>
        <w:tblInd w:w="-2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877"/>
        <w:gridCol w:w="6299"/>
        <w:gridCol w:w="671"/>
        <w:gridCol w:w="600"/>
        <w:gridCol w:w="723"/>
      </w:tblGrid>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auto"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auto"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auto" w:sz="4" w:space="0"/>
              <w:right w:val="single" w:color="000000"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7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77"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注：包含整室教师演示台、实验椅、学生实验桌、学生实验凳、电源总控台、电源电源设备组装调试人工费，现场清理，设备运费，电源线及管材铺设、安装调试费等综合考虑在投标报价中，不单列。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3F 4F-A06 化学上通风实验室</w:t>
      </w:r>
      <w:r/>
    </w:p>
    <w:tbl>
      <w:tblPr>
        <w:tblStyle w:val="741"/>
        <w:tblW w:w="9934" w:type="dxa"/>
        <w:tblInd w:w="-24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7"/>
        <w:gridCol w:w="857"/>
        <w:gridCol w:w="6290"/>
        <w:gridCol w:w="682"/>
        <w:gridCol w:w="678"/>
        <w:gridCol w:w="750"/>
      </w:tblGrid>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5"/>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675"/>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000000" w:sz="4" w:space="0"/>
              <w:bottom w:val="single" w:color="000000" w:sz="4" w:space="0"/>
              <w:right w:val="single" w:color="000000" w:sz="4" w:space="0"/>
            </w:tcBorders>
            <w:tcW w:w="6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000000" w:sz="4" w:space="0"/>
              <w:right w:val="single" w:color="auto"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none" w:color="000000" w:sz="4" w:space="0"/>
              <w:right w:val="single" w:color="000000" w:sz="4" w:space="0"/>
            </w:tcBorders>
            <w:tcW w:w="85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none" w:color="000000"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000000" w:sz="4" w:space="0"/>
              <w:left w:val="single" w:color="000000" w:sz="4" w:space="0"/>
              <w:bottom w:val="single" w:color="auto" w:sz="4" w:space="0"/>
              <w:right w:val="single" w:color="000000" w:sz="4" w:space="0"/>
            </w:tcBorders>
            <w:tcW w:w="6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000000" w:sz="4" w:space="0"/>
              <w:bottom w:val="single" w:color="auto" w:sz="4" w:space="0"/>
              <w:right w:val="single" w:color="000000"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auto"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4F-A03化学上通风实验室 </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852"/>
        <w:gridCol w:w="6350"/>
        <w:gridCol w:w="644"/>
        <w:gridCol w:w="626"/>
        <w:gridCol w:w="724"/>
      </w:tblGrid>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6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auto" w:sz="4" w:space="0"/>
              <w:left w:val="single" w:color="000000" w:sz="4" w:space="0"/>
              <w:bottom w:val="single" w:color="000000" w:sz="4" w:space="0"/>
              <w:right w:val="single" w:color="000000" w:sz="4" w:space="0"/>
            </w:tcBorders>
            <w:tcW w:w="635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触摸键控制，薄膜面板装置在演示台内，输入电压380V，其主要技术参数指标如下：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12、通风系统：采用变频器对风机进行调速，变频器控制面板安装在教师主控面板上；变频器调整精确度高，具有延长风机使用寿命、节能、降噪音等特点。</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auto"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1、万向节采用≥Ø75mm铝合金材质，表面经电泳、静电环氧树脂粉末喷涂处理，具有耐腐蚀、防火、防潮等功能；活动关节采用高密度PP材质，旋钮式螺纹压紧；可360度旋转调节方向，易拆卸、重组及清洗；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2、气流调节阀采用手动调节外部阀门旋钮，控制进入之气流量。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风量分布控制器</w:t>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ABS工程注塑</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auto"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实验通风机</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1.实验通风机规格：功率≥5.5KW，箱式变频6#带自动调速机。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内径尺寸：≥1100*1200*1200mm，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电压：380V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工作时：噪音≤70分贝,配一体化消声器材、风流量10210-15600M3/h，全压946-890Pa，转速：950r/min,每小时教室换气次数20次以上，排毒（3-5分钟每次）达到98%。可根据室内环境调节。</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通风装置</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2.风机开关及变频控制系统：≥5.5KW变频器，采用高级电子集成电路，无级调速，随意控制风机风速和风量大小。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3.风机进出口接头：≥φ315mm,PVC材质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4.6#通风机弯头：高级树脂复合材料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5.风机控制线规格：≥φ25mm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6.电气线管：4平方毫米电线3根，2.5平方毫米电线1根。</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室内通风管道</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规格：PVC直管φ315*4000mm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PVC直管Φ250mm，L=4m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PVC管Φ160mm，L=4m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PVC管Φ110mm*4000mm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PVC管Φ90mm，L=4m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配件：PVCΦ250mm直管，PVC弯头φ250mm，PVC大小头φ250-110mm，PVC大小头D=160mm*110mm，透明通风软管Φ110，L=1M，PVC堵头Φ250mm，PVC三通φ315mm-250、PVC大小头，PVC三通Φ250-160mm、PVC三通Φ160mm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000000" w:sz="4" w:space="0"/>
              <w:bottom w:val="none" w:color="000000" w:sz="4" w:space="0"/>
              <w:right w:val="single" w:color="000000"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auto" w:sz="4" w:space="0"/>
              <w:left w:val="single" w:color="000000" w:sz="4" w:space="0"/>
              <w:bottom w:val="none" w:color="000000" w:sz="4" w:space="0"/>
              <w:right w:val="single" w:color="000000"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室外通风管道</w:t>
            </w:r>
            <w:r/>
          </w:p>
        </w:tc>
        <w:tc>
          <w:tcPr>
            <w:tcBorders>
              <w:top w:val="single" w:color="auto" w:sz="4" w:space="0"/>
              <w:left w:val="single" w:color="000000" w:sz="4" w:space="0"/>
              <w:bottom w:val="single" w:color="000000"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规格：室外风管φ315*4000mm转接头及室外至楼顶管。</w:t>
            </w:r>
            <w:r/>
          </w:p>
        </w:tc>
        <w:tc>
          <w:tcPr>
            <w:tcBorders>
              <w:top w:val="single" w:color="auto"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72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室外弯头φ315mm，管卡φ315mm配件</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auto" w:sz="4" w:space="0"/>
              <w:right w:val="single" w:color="000000" w:sz="4" w:space="0"/>
            </w:tcBorders>
            <w:tcW w:w="72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85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5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auto" w:sz="4" w:space="0"/>
              <w:left w:val="single" w:color="auto" w:sz="4" w:space="0"/>
              <w:bottom w:val="single" w:color="auto" w:sz="4" w:space="0"/>
              <w:right w:val="single" w:color="auto" w:sz="4" w:space="0"/>
            </w:tcBorders>
            <w:tcW w:w="6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ind w:firstLine="420"/>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万向式吸风罩、吊顶、室内外通风管道等设备组装调试人工费，现场清理，设备运费，水电改造、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1F-B01生物仪器室</w:t>
      </w:r>
      <w:r/>
    </w:p>
    <w:tbl>
      <w:tblPr>
        <w:tblStyle w:val="741"/>
        <w:tblW w:w="9908" w:type="dxa"/>
        <w:tblInd w:w="-2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8"/>
        <w:gridCol w:w="938"/>
        <w:gridCol w:w="6320"/>
        <w:gridCol w:w="656"/>
        <w:gridCol w:w="703"/>
        <w:gridCol w:w="663"/>
      </w:tblGrid>
      <w:tr>
        <w:trPr>
          <w:trHeight w:val="54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619"/>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17、</w:t>
      </w:r>
      <w:r>
        <w:rPr>
          <w:rFonts w:hint="eastAsia" w:ascii="宋体" w:hAnsi="宋体" w:eastAsia="宋体" w:cs="宋体"/>
          <w:b/>
          <w:bCs/>
          <w:color w:val="auto"/>
          <w:sz w:val="21"/>
          <w:szCs w:val="21"/>
          <w:highlight w:val="none"/>
        </w:rPr>
        <w:t xml:space="preserve">1F-B02生物标本室</w:t>
      </w:r>
      <w:r/>
    </w:p>
    <w:tbl>
      <w:tblPr>
        <w:tblStyle w:val="741"/>
        <w:tblW w:w="9891" w:type="dxa"/>
        <w:tblInd w:w="-2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91"/>
        <w:gridCol w:w="6345"/>
        <w:gridCol w:w="636"/>
        <w:gridCol w:w="635"/>
        <w:gridCol w:w="706"/>
      </w:tblGrid>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双面标本柜</w:t>
            </w:r>
            <w:r/>
          </w:p>
        </w:tc>
        <w:tc>
          <w:tcPr>
            <w:tcBorders>
              <w:top w:val="single" w:color="000000" w:sz="4" w:space="0"/>
              <w:left w:val="single" w:color="000000" w:sz="4" w:space="0"/>
              <w:bottom w:val="single" w:color="000000" w:sz="4" w:space="0"/>
              <w:right w:val="single" w:color="000000" w:sz="4" w:space="0"/>
            </w:tcBorders>
            <w:tcW w:w="634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规格：1000*1000*2000mm（±5mm）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方料≥37.4×28×1.2mm，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整室单面标本柜、双面标本柜组装调试人工费，现场清理，设备运费、安装调试费等综合考虑在投标报价中，不单列。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1F-B03分段式智能生物吊装实验室</w:t>
      </w:r>
      <w:r/>
    </w:p>
    <w:tbl>
      <w:tblPr>
        <w:tblStyle w:val="741"/>
        <w:tblW w:w="9956" w:type="dxa"/>
        <w:tblInd w:w="-30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865"/>
        <w:gridCol w:w="6390"/>
        <w:gridCol w:w="666"/>
        <w:gridCol w:w="684"/>
        <w:gridCol w:w="666"/>
      </w:tblGrid>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一、实验室基础部分</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组合式智慧实验演示台</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1.整体尺寸：2650×750×850mm（±5mm）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2.整体性能：台面操作高度≤850mm，确保站立操作时的舒适性；台面水平深度：≥500mm，确保有足够的操作空间；讲台着地平稳性≤3.0mm，防止晃动或倾斜；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3.主要功能：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（1）由多功能教学演示台、多功能数字教学平台、多功能实验水槽台组合而成，各部分紧密协作，满足多样化教学与实验演示需求；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功能教学演示台革新教学演示，为教师提供高效稳定的操作演示平台，解决学生观看难题，并支持课程建设与教学创新。集成教学/实验操作台、智能升降视频采集与电源系统，各功能有机融合，系统间高效联动，全面助力教学演示与学生观摩。配置专业实验陶瓷台面，增加包边设计增强台面边缘防护性能，有效抵御酸碱腐蚀与碰撞损伤，同时提升整个操作台面的美观度与整体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数字教学平台作为整个讲台的核心控制与资源整合部分，配置多媒体及智慧教学平台，为实验教学活动提供便捷、高效的支持。集成强大的智慧教学平台，涵盖直播教学、实验管理、设备管理、实验教学等功能模块，为实验教学活动提供全方位支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实验水槽台配置有PPR三联水嘴，专门解决教师在实验教学过程中的给排水问题，为实验操作提供便捷、卫生的用水环境。水槽台面与水槽采用耐酸碱PP工程塑料整体注塑成型，非组装设计减少漏水。整体结构增强密封性、强度与稳定性。水槽内部倾斜防溅水，挡水边及溢水口设计保持操作区干燥。三联水嘴用PPR净水材料，配台式洗眼器保障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4.多功能教学演示台: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操作台面不小于1500×750mm，采用≥12mm厚一体化陶瓷台面，台面表面为耐磨、耐强腐蚀专业釉面。釉面和胚体经高温烧结而成，赋予台面耐高温（长时间耐温≥1300度）、耐刻刮、防静电、耐腐蚀、防垢易清洁、防霉等物理和化学性能。为各类实验操作提供稳定、可靠的平台支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（2）操作台面四周边缘采用耐酸碱PP工程塑料一体注塑成型进行包边，整体厚度≥35mm；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（5）台身内嵌安装智能升降视频采集系统：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1）升降系统支架采用ABS注塑成型，内部结构立柱采用≥134×98mm铝合金材质；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升降系统支架内置两颗工业级不低于500万像素的摄像头，拍摄速度可达2592×1944/30帧/秒，确保视频流畅无卡顿。分辨率丰富，包括1280×720、1920×1080、2048×1536、2592×1944等多种选择，可根据实际需求灵活调整。镜头角度达130度（非鱼眼），支持标准 UVC通信协议。支持正式、俯视同时拍摄；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3）升降系统支架高度可通过电动升降自由调节：使用最高高度不低于660mm，折叠臂长度不小于275mm；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4）升降系统支架采用隐藏式设计，融合于实验台身内部。当需要进行实验演示时，可通过电动升降装置将其升起；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5）视频采集系统具备强大的教学操作过程实时视频采集功能，配合多功能数字教学平台，可实现全程录制、存储，回放等功能；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（6）台身内嵌安装教师教学电源：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用双屏设计，电源控制屏为不小于7寸彩色电容式触摸屏，采用图形化操作界面，教师可直观便捷地控制直流电源电压设定（步进≥0.1V，支持长按操作）、交流电源电压设定（步进≥2V，支持长按操作）。电源输出端采用的三位LED屏可实时显示电压、电流真实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交直流低压电源：直流电源部分，三位LED显示电压真实值，三位LED显示电流真实值，输出范围为0-16V/5A，可精准调节输出电压与电流，满足不同实验设备的供电需求。交流电源部分，同样具备三位LED显示设定电压与三位LED显示电流真实值功能，输出范围为0-16V/5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3）采用TCP/IP通讯协议数字化网络电源，基于网络IP协议控制方式，具备联网和过载指示功能，操作安全可靠；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4）触摸屏还具备≥40A/8S大电流控制功能，可实现≥40A大电流输出，并在屏幕上显示≥8S倒计时，同时具备故障显示与故障报警功能，有效保障实验操作过程中的用电安全；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5.多功能数字教学平台: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（1）支撑框架采用规格不小于30×30×1.2mm铝型材，其耐腐蚀性则使其能够适应实验室复杂的化学环境，长时间保持结构的完整性，延长产品的使用寿命；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（2）台身上部结构不小于750×630×340mm采用ABS工程塑料一体注塑成型，具备良好的耐用性与稳定性；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（3）台身内嵌≥23.8英寸多点触控屏，触控灵敏，通过手指或电容式手写笔即可快速书写，随心批注，手写性能流畅准确；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（4）配备USB3.0高速数据传输及HDMI高清数字接口，兼容多设备，扩展教学工具。设有伸缩键盘托、储物柜等功能；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（5）采用≥30×40mm铝合金踢脚线，表面进行静电粉末喷涂处理，耐磨、耐腐蚀且美观，与整体风格协调统一，同时具有一定的防碰撞功能；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（6）配备控制系统，数据存储内存容量不低于500GB，配有键盘、鼠标；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（7）智慧教学平台集成至少四个功能模块：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1）直播教学模块：借助视频采集系统与教师示范实验课紧密配合，实现直播教学功能。学生可实时观摩学习实验过程，提升实验教学效果；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管理模块：具备课标实验和自建实验两大功能分类。教师根据需要选择，系统便能自动精准列出国家课程标准规定的实验，同时展示实验所需的器材和药品信息，学生实验还会重点提示，方便教师备课。教师选择实验场地为实验室，系统将转入预约系统，教师可随时查看自己的所有实验列表，并且能够根据教学需求自建独特的实验项目，充分发挥教师的实验教学自主性与创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3）设备管理模块：可对实验室的各类基础设备进行智能控制和高效管理；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4）实验教学模块：具备学科创新、精品课程、教具专栏和实验竞赛等功能模块；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6.多功能实验水槽台: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（1）水槽台面与水槽采用耐酸碱PP工程塑料整体模具一体注塑成型，整体规格不小于750×520×295，可有效抵御化学试剂的侵蚀。四周边缘精心设计挡水边，防止水流外溢，保持实验操作区域的干燥整洁；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（2）水槽台集成有三联水嘴、溢水口及台式洗眼器等实用功能；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（3）三联水嘴采用耐腐蚀、耐热、耐压、不结垢PPR工程塑料模具注塑成型，确保水流稳定、安全卫生，满足实验过程中的用水需求；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（4）台式洗眼器为实验人员在意外接触化学试剂时提供及时有效的眼部冲洗保护，保障实验人员的人身安全；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（5）采用≥30×40mm铝合金踢脚线，表面进行静电粉末喷涂处理，耐磨、耐腐蚀且美观，与整体风格协调统一，同时具有防碰撞功能；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（6）设有检修口，方便内部设备检修与维护；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（7）水槽台内部设有水位传感器及排水装置，有自动排水和手动及紧急排水功能，将废水自动排出。</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63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多功能移动水槽台</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1、水槽台上部为多功能安装平台采用3.8mm厚工程塑料整体模具注塑成型，多功能平台集成有给排水快速接口、信号控制接口、三联水嘴、≥8试管位滴水架。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2、水槽台身采用≥3.8mm厚工程塑料整体模具一体注塑成型，台面设有溢水口及台式洗眼器，内部集成自动水位控制系统，四周边缘设计挡水边。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3、三联水嘴采用工程塑料模具注塑成型。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4、水槽台采用双层过滤结构，水槽下水口带有过滤网，水槽台中部配备抽屉式过滤层并安装通锁，背面预留检修口。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槽内设有水位传感器及排水装置，有自动排水和手动及紧急排水功能，将废水自动排出。摇臂设有自检测功能，当水槽电缆与摇臂相连时，摇臂处于使用状态，摇臂处于锁定状态，不能升降，避免各种误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给排水快速接口与摇臂操作面板设计排水接口采用优质PVC软管（具有防酸、防碱、耐腐蚀功能）连接，接口均采用自动锁紧插拔式连接方式（拔掉时没有污水流出），用时接上，不用时可收起。（配置给排水PVC软管2根、信号控制快速航空接头及连接线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7、水槽台底部安装静音万向轮。</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eastAsia"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000000" w:sz="4" w:space="0"/>
              <w:left w:val="single" w:color="000000" w:sz="4" w:space="0"/>
              <w:bottom w:val="single" w:color="auto"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000000" w:sz="4" w:space="0"/>
              <w:left w:val="single" w:color="000000" w:sz="4" w:space="0"/>
              <w:bottom w:val="single" w:color="auto" w:sz="4" w:space="0"/>
              <w:right w:val="single" w:color="000000"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86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实验室网络线路</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网络线路：工程级无氧铜六类网络双绞线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6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交换容量：672Gbps/6.72Tbps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包转发率：126Mpps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管理端口：1个 Console 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固定端口：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24*10/100/1000Base-T、以太网端口4*1000Base-XSFP光口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流量控制：支持802.3x流控及半双工背压流控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链路聚合：支持GE端口聚合、支持静态聚合、支持动态聚合、支持跨设备聚合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MAC地址表：支持黑洞MAC地址、支持设置端口MAC地址学习最大个数</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10"/>
        </w:trPr>
        <w:tc>
          <w:tcPr>
            <w:gridSpan w:val="6"/>
            <w:tcBorders>
              <w:top w:val="single" w:color="auto" w:sz="4" w:space="0"/>
              <w:left w:val="single" w:color="auto" w:sz="4" w:space="0"/>
              <w:bottom w:val="single" w:color="auto" w:sz="4" w:space="0"/>
              <w:right w:val="single" w:color="auto"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二、实验室吊装部分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吊顶系统主体架构</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1、给水主管选用Ø20-32mmPP-R给水管，模块化设计，每组模块间采用活接式连接，方便安装、检修。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2、排水管选用加厚Ø50-75mmPVC-U国标管（具有防酸、防碱、耐腐蚀功能），模块化设计，每组模块间采用活接式连接，方便安装、检修。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3、安装附件：采用固定横梁吊装方式，减少楼板承重，防止左右晃动，可进行上下、左右的平衡调节。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主要辅件有：矩形钢、三角构件、直角座、龙骨架连接件、吊装挂件、安装连接板等。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4、网络布线：工程级无氧铜六类网络双绞线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5、供电布线：供电线路：模块化设计，每组模块间采用活接式连接，方便安装、检修。采用通用铜芯电线进行系统布线。</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auto"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智能控制电气柜</w:t>
            </w:r>
            <w:r/>
          </w:p>
        </w:tc>
        <w:tc>
          <w:tcPr>
            <w:tcBorders>
              <w:top w:val="single" w:color="auto"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规格：≥500×230×800mm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智能控制电气柜内置总电源开关、电源保护器、智能中控器、分项漏电短路保护器。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一、智能中控器：采用≥10寸电容触摸屏，4核CPU，主频1.8GHz,系统Android10，分辨率：800×1280，图形化操作界面实现人机交互控制及远程控制，智能中控器内集成智慧教室管理控制平台。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二、智慧教室管理控制平台有四个页面：首页，智慧电源，智慧控制，系统设置。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1、首页：有上课、下课、通风、照明、供电、供水、学生实时求助表，全开、全关功能控制，时间，天气显示等信息。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2、智慧电源页面：控制和设定学生电源，查看学生机是否在线，对学生电源分组，全选或单选进行电压控制，对学生电源的直流和交流电源设定电压，图形数字双显示。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3、智慧控制：对教室内设备系统如通风、照明、供水、供电、摇臂、电源、网络、投影、新风、窗帘等物联网智能设备进行控制与交互。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4、系统设置：对座位分组、设备绑定和账号设置。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5、TCP/IP通讯协议数字化网络电源采用网络IP协议控制方式。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单路电动摇臂升降系统，双路照明系统、双路求助故障诊断系统、单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四、供排水系统：在智能集成吊装单元里集成有供排水管道系统，供排水系统1套。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六、控制方式：TCP/IP通讯协议，采用网络IP协议控制方式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智能集成吊装单元（学生）</w:t>
            </w:r>
            <w:r/>
          </w:p>
        </w:tc>
        <w:tc>
          <w:tcPr>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1600×530×220mm，主体框架使用≥30×30mm铝合金制作，防腐轻便坚固，外壳使用模具ABS注塑一次成型，有双路电动摇臂升降系统，双路照明系统、双路求助故障诊断系统、双路给排水系统、双路网络系统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一、电动摇臂升降系统：有学生电源、两路网络端口、两路五孔AC220V供电、给排水接口、水泵控制等组成，摇臂升降系统2套。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学生电源：采用≥4.3寸彩色液晶触摸屏分辨率≥400×800，做系统显示和交互。学生电源有直流电源、交流电源、设置三部分组成。学生电源接受主控控制，在主控解锁后可独立操作。有电压、电流、功率三位数字显示，电压、电流数字图形双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两路千兆网口，提供网络设备使用。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两路AC220V电源。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给排水接口，提供多功能移动水槽使用。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水泵控制接口，连接多功能移动水槽，实现水位自动控制及紧急排水和手动排水。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二、照明系统：每个摇臂旁边安装有辅助照明光源，LED白光平板光源≥220×90mm，照明系统≥2套。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三、求助故障诊断系统：在吊顶两端安装有两块≥270×30mm的冰蓝色LED灯条，当学生求助按键按下时高亮显示。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四、供排水系统：在智能集成吊装单元里集成有供排水管道系统，供排水系统≥2套。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五、网络系统：在智能集成吊装单元里安装有一个8口全千兆交换机，提供网络连接。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 控制方式：TCP/IP通讯协议，采用网络IP协议控制方式</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三、施工部分</w:t>
            </w:r>
            <w:r/>
          </w:p>
        </w:tc>
      </w:tr>
      <w:tr>
        <w:trPr>
          <w:trHeight w:val="510"/>
        </w:trPr>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8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吊顶装饰</w:t>
            </w:r>
            <w:r/>
          </w:p>
        </w:tc>
        <w:tc>
          <w:tcPr>
            <w:tcBorders>
              <w:top w:val="single" w:color="auto" w:sz="4" w:space="0"/>
              <w:left w:val="single" w:color="auto" w:sz="4" w:space="0"/>
              <w:bottom w:val="single" w:color="auto" w:sz="4" w:space="0"/>
              <w:right w:val="single" w:color="auto" w:sz="4" w:space="0"/>
            </w:tcBorders>
            <w:tcW w:w="63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主体布局为铝方通材质。铝方通规格40*60@100，厚度0.8；8∮吊筋，配套龙骨。</w:t>
            </w:r>
            <w:r/>
          </w:p>
        </w:tc>
        <w:tc>
          <w:tcPr>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产品安装调试、现场清运等费用：包括教师演示台、学生实验桌、学生实验凳、实验椅等；室外通风管道安装；吊装设备安装调试：1）智能集成吊装单元安装；2）系统结构安装调试；3）系统控制安装调试；4）给排水安装调试；5）供电系统安装调试；6）照明系统安装调试；7）网络系统安装调试；8）中控系统调试培训使用；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19、</w:t>
      </w:r>
      <w:r>
        <w:rPr>
          <w:rFonts w:hint="eastAsia" w:ascii="宋体" w:hAnsi="宋体" w:eastAsia="宋体" w:cs="宋体"/>
          <w:b/>
          <w:bCs/>
          <w:color w:val="auto"/>
          <w:sz w:val="21"/>
          <w:szCs w:val="21"/>
          <w:highlight w:val="none"/>
        </w:rPr>
        <w:t xml:space="preserve">1F-B04 B07 2F-B02 B05生物准备室</w:t>
      </w:r>
      <w:r/>
    </w:p>
    <w:tbl>
      <w:tblPr>
        <w:tblStyle w:val="741"/>
        <w:tblW w:w="9917" w:type="dxa"/>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94"/>
        <w:gridCol w:w="6306"/>
        <w:gridCol w:w="705"/>
        <w:gridCol w:w="653"/>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规格：≥3000×600×850mm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水槽</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化验水槽一副：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规格：≥420*320*200mm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≥5mm厚高密度黑色PP材质一体成型，具有弹性、耐酸碱、耐有机溶剂、耐热，在无外力作用下加热至150℃不变形。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三联水嘴一副：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三联化验水嘴、两低一高。</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规格：≥2250×250×550mm,立柱：（规格：≥80×40）钢制结构，分两组装在准备台上以支撑试剂架。层板：单层，采用≥6mm厚玻璃，层板两侧加装不锈钢挡杆，防止器皿滑落。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1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标本柜</w:t>
            </w:r>
            <w:r/>
          </w:p>
        </w:tc>
        <w:tc>
          <w:tcPr>
            <w:tcBorders>
              <w:top w:val="single" w:color="000000" w:sz="4" w:space="0"/>
              <w:left w:val="single" w:color="000000" w:sz="4" w:space="0"/>
              <w:bottom w:val="single" w:color="auto"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规格：1000×500×2000mm（±5mm）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  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合金框架结构后面方料≥37.4×28×1.2mm,前面方料≥37.4×28×1.2mm,后立杆铝型材须双槽，配以ABS连接件组装而成；采用大型模具成型制作铝型材，配以ABS专业连接组装而成，铝型材表面经环氧树脂高温固化处理；耐酸碱、防潮；铝型材框架具有结构连接牢固、承载能力强、整体耐腐蚀、外观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柜身：上柜体采用四面玻璃柜体，下柜体采用三聚氰胺双贴面板，板材断面选用PVC封边，粘力强、密封性好，外观美观大方。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隔板：上柜体采用高度可调玻璃层板，下柜体采用三聚氰胺板隔板。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可调脚:采用模具成型PC＋ABS工程塑料合金注塑专用垫，有效防止桌身受潮，延长设备的使用寿命。  </w:t>
            </w:r>
            <w:r/>
          </w:p>
        </w:tc>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准备室给排水管</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上水弯头φ32-20mm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准备室电气管线</w:t>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79"/>
                <w:rFonts w:hint="eastAsia" w:ascii="宋体" w:hAnsi="宋体" w:eastAsia="宋体" w:cs="宋体"/>
                <w:color w:val="auto"/>
                <w:sz w:val="21"/>
                <w:szCs w:val="21"/>
                <w:highlight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整室边台、水槽、试剂架、仪器柜、单面标本柜组装调试人工费，现场清理，设备运费，电源线及管材铺设、安装调试费等综合考虑在投标报价中，不单列。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1F-B05 B08 2F-B03 B06生物仪器室</w:t>
      </w:r>
      <w:r/>
    </w:p>
    <w:tbl>
      <w:tblPr>
        <w:tblStyle w:val="741"/>
        <w:tblW w:w="9915" w:type="dxa"/>
        <w:tblInd w:w="-3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872"/>
        <w:gridCol w:w="6325"/>
        <w:gridCol w:w="715"/>
        <w:gridCol w:w="644"/>
        <w:gridCol w:w="671"/>
      </w:tblGrid>
      <w:tr>
        <w:trPr>
          <w:trHeight w:val="540"/>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注：包含</w:t>
      </w:r>
      <w:r>
        <w:rPr>
          <w:rFonts w:hint="eastAsia" w:ascii="宋体" w:hAnsi="宋体" w:eastAsia="宋体" w:cs="宋体"/>
          <w:b w:val="0"/>
          <w:bCs w:val="0"/>
          <w:i w:val="0"/>
          <w:iCs w:val="0"/>
          <w:color w:val="auto"/>
          <w:sz w:val="21"/>
          <w:szCs w:val="21"/>
          <w:highlight w:val="none"/>
          <w:u w:val="none"/>
          <w:lang w:val="en-US" w:eastAsia="zh-CN" w:bidi="ar"/>
        </w:rPr>
        <w:t xml:space="preserve">整室仪器柜组装调试人工费，现场清理，设备运费、安装调试费等综合考虑在投标报价中，不单列。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21、</w:t>
      </w:r>
      <w:r>
        <w:rPr>
          <w:rFonts w:hint="eastAsia" w:ascii="宋体" w:hAnsi="宋体" w:eastAsia="宋体" w:cs="宋体"/>
          <w:b/>
          <w:bCs/>
          <w:color w:val="auto"/>
          <w:sz w:val="21"/>
          <w:szCs w:val="21"/>
          <w:highlight w:val="none"/>
        </w:rPr>
        <w:t xml:space="preserve">1F-B06生物综合实验室</w:t>
      </w:r>
      <w:r/>
    </w:p>
    <w:tbl>
      <w:tblPr>
        <w:tblStyle w:val="741"/>
        <w:tblW w:w="9953"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05"/>
        <w:gridCol w:w="6288"/>
        <w:gridCol w:w="679"/>
        <w:gridCol w:w="715"/>
        <w:gridCol w:w="679"/>
      </w:tblGrid>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88"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p>
            <w:pPr>
              <w:jc w:val="left"/>
              <w:keepLines w:val="0"/>
              <w:keepNext w:val="0"/>
              <w:widowControl/>
              <w:rPr>
                <w:rFonts w:hint="eastAsia" w:ascii="宋体" w:hAnsi="宋体" w:eastAsia="宋体" w:cs="宋体"/>
                <w:i w:val="0"/>
                <w:iCs w:val="0"/>
                <w:color w:val="auto"/>
                <w:sz w:val="21"/>
                <w:szCs w:val="21"/>
                <w:highlight w:val="none"/>
                <w:u w:val="none"/>
                <w:lang w:val="zh-CN"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zh-CN" w:eastAsia="zh-CN" w:bidi="ar"/>
              </w:rPr>
              <w:t xml:space="preserve">多功能水槽台：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zh-CN" w:eastAsia="zh-CN" w:bidi="ar"/>
              </w:rPr>
              <w:t xml:space="preserve">注：提供第三方检测机构出具的有效检测检验报告（检测检验报告上须含有“CMA”或“CNAS”标志）。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6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6288"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8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注：包含整室教师演示台、实验椅、学生实验桌、学生实验凳、电源总控台、多功能水槽台设备组装调试人工费，现场清理，设备运费，电源线及管材铺设、安装调试费等综合考虑在投标报价中，不单列。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rPr>
        <w:t xml:space="preserve">2F-B01 B04生物解剖实验室</w:t>
      </w:r>
      <w:r/>
    </w:p>
    <w:tbl>
      <w:tblPr>
        <w:tblStyle w:val="741"/>
        <w:tblW w:w="9975" w:type="dxa"/>
        <w:tblInd w:w="-3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894"/>
        <w:gridCol w:w="6279"/>
        <w:gridCol w:w="679"/>
        <w:gridCol w:w="715"/>
        <w:gridCol w:w="688"/>
      </w:tblGrid>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Borders>
              <w:top w:val="single" w:color="000000" w:sz="4" w:space="0"/>
              <w:left w:val="single" w:color="000000" w:sz="4" w:space="0"/>
              <w:bottom w:val="single" w:color="auto" w:sz="4" w:space="0"/>
              <w:right w:val="single" w:color="000000"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Borders>
              <w:top w:val="single" w:color="000000" w:sz="4" w:space="0"/>
              <w:left w:val="single" w:color="000000" w:sz="4" w:space="0"/>
              <w:bottom w:val="single" w:color="auto"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auto"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none" w:color="000000"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000000" w:sz="4" w:space="0"/>
              <w:bottom w:val="none" w:color="000000"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000000" w:sz="4" w:space="0"/>
              <w:left w:val="single" w:color="auto" w:sz="4" w:space="0"/>
              <w:bottom w:val="single" w:color="auto" w:sz="4" w:space="0"/>
              <w:right w:val="single" w:color="000000"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auto" w:sz="4" w:space="0"/>
            </w:tcBorders>
            <w:tcW w:w="8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27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000000" w:sz="4" w:space="0"/>
              <w:left w:val="single" w:color="auto"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auto" w:sz="4" w:space="0"/>
            </w:tcBorders>
            <w:tcW w:w="68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整室教师演示台、实验椅、学生实验桌、学生实验凳、电源总控台、多功能水槽台设备组装调试人工费，现场清理，设备运输，电源线及管材铺设、安装调试费等综合考虑在投标报价中，不单列。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rPr>
        <w:t xml:space="preserve">3F-B01 B03生物观察实验室</w:t>
      </w:r>
      <w:r/>
    </w:p>
    <w:tbl>
      <w:tblPr>
        <w:tblStyle w:val="741"/>
        <w:tblW w:w="10008"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3"/>
        <w:gridCol w:w="883"/>
        <w:gridCol w:w="6334"/>
        <w:gridCol w:w="644"/>
        <w:gridCol w:w="697"/>
        <w:gridCol w:w="697"/>
      </w:tblGrid>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1.规格（长×宽×高）：1200×600×760mm（±5mm）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①内侧承重框架采用尼龙工程塑料一体注塑成型，尼龙承重框架规格尺寸不小于为685×530mm，具有良好的韧性和抗冲击性，能够吸收和分散外部的冲击力，减少结构受损的风险；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④立柱框架内设隐藏式布线功能柱，便于维护检修。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7.吊板：采用冷轧钢板折弯成型，表面经酸洗、磷化、喷塑处理。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8.可调脚：采用ABS注塑专用垫，具有高度可调、耐磨、防潮等特点。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Borders>
              <w:top w:val="single" w:color="000000" w:sz="4" w:space="0"/>
              <w:left w:val="single" w:color="000000" w:sz="4" w:space="0"/>
              <w:bottom w:val="single" w:color="000000" w:sz="4" w:space="0"/>
              <w:right w:val="single" w:color="000000" w:sz="4" w:space="0"/>
            </w:tcBorders>
            <w:tcW w:w="633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学生电源</w:t>
            </w:r>
            <w:r/>
          </w:p>
        </w:tc>
        <w:tc>
          <w:tcPr>
            <w:tcBorders>
              <w:top w:val="single" w:color="000000" w:sz="4" w:space="0"/>
              <w:left w:val="single" w:color="000000" w:sz="4" w:space="0"/>
              <w:bottom w:val="single" w:color="000000"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每张台接受教师演示台的信号控制电源。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交流电源：每台配备220V交流输出；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电源全部由教师台控制；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000000" w:sz="4" w:space="0"/>
              <w:left w:val="single" w:color="000000" w:sz="4" w:space="0"/>
              <w:bottom w:val="single" w:color="auto"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auto"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实验光源</w:t>
            </w:r>
            <w:r/>
          </w:p>
        </w:tc>
        <w:tc>
          <w:tcPr>
            <w:tcBorders>
              <w:top w:val="single" w:color="000000" w:sz="4" w:space="0"/>
              <w:left w:val="single" w:color="000000" w:sz="4" w:space="0"/>
              <w:bottom w:val="single" w:color="auto" w:sz="4" w:space="0"/>
              <w:right w:val="single" w:color="000000"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桌面台式，可调节光照角度。</w:t>
            </w:r>
            <w:r/>
          </w:p>
        </w:tc>
        <w:tc>
          <w:tcPr>
            <w:tcBorders>
              <w:top w:val="single" w:color="000000" w:sz="4" w:space="0"/>
              <w:left w:val="single" w:color="000000" w:sz="4" w:space="0"/>
              <w:bottom w:val="single" w:color="auto"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auto"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0"/>
        </w:trPr>
        <w:tc>
          <w:tcPr>
            <w:tcBorders>
              <w:top w:val="single" w:color="auto" w:sz="4" w:space="0"/>
              <w:left w:val="single" w:color="auto" w:sz="4" w:space="0"/>
              <w:bottom w:val="single" w:color="auto" w:sz="4" w:space="0"/>
              <w:right w:val="single" w:color="auto" w:sz="4" w:space="0"/>
            </w:tcBorders>
            <w:tcW w:w="75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8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633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Borders>
              <w:top w:val="single" w:color="auto" w:sz="4" w:space="0"/>
              <w:left w:val="single" w:color="auto" w:sz="4" w:space="0"/>
              <w:bottom w:val="single" w:color="auto" w:sz="4" w:space="0"/>
              <w:right w:val="single" w:color="auto"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注：包含整室教师演示台、实验椅、学生实验桌、学生实验凳、电源总控台、学生电源、实验光源设备组装调试人工费，现场清理，设备运输，电源线及管材铺设、安装调试费等综合考虑在投标报价中，不单列</w:t>
      </w:r>
      <w:r>
        <w:rPr>
          <w:rFonts w:hint="eastAsia" w:ascii="宋体" w:hAnsi="宋体" w:cs="宋体"/>
          <w:i w:val="0"/>
          <w:iCs w:val="0"/>
          <w:color w:val="auto"/>
          <w:sz w:val="21"/>
          <w:szCs w:val="21"/>
          <w:highlight w:val="none"/>
          <w:u w:val="none"/>
          <w:lang w:val="en-US" w:eastAsia="zh-CN" w:bidi="ar"/>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生物组培实验室1</w:t>
      </w:r>
      <w:r/>
    </w:p>
    <w:tbl>
      <w:tblPr>
        <w:tblStyle w:val="741"/>
        <w:tblW w:w="10006"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905"/>
        <w:gridCol w:w="6303"/>
        <w:gridCol w:w="644"/>
        <w:gridCol w:w="706"/>
        <w:gridCol w:w="706"/>
      </w:tblGrid>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超净工作台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1.外壳采用彩钢板一体成型，工作台面为SUS304拉丝不锈钢，耐腐蚀、易清洗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2.采用了任意定位移门系统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3.照明和杀菌系统安全互锁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4.数显式液晶控制界面，更具人性化设计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5.垂直准闭合式台面，操作室下降流气幕的形成，可有效防止外部气体投入和操作区洁净</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6.配置有HEPA高效空气过滤器，设有初效过滤器进行初步过滤，可有效延长高效过滤器使用寿命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7.洁净等级 100级@≥0.5μM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8.菌落数 ≤0.5个/皿·时（Φ90mm培养平皿）</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9.平均风速 0.25～0.45m/s（快慢双速）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10.噪音 ≤62dB（A）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11.振动半峰值 ≤0.5μM（x、y、z方向）</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12.照度 ≥300Lx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 AC单相220V/50Hz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14.最大功率 300W</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15.适用人数 单人单面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16.高效过滤器规格及数量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695×460×38×①</w:t>
            </w:r>
            <w:r/>
          </w:p>
          <w:p>
            <w:pPr>
              <w:jc w:val="left"/>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17.荧光灯/紫外灯规格及数量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15W×①/15W×①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注：▲上述第9、10、12项，提供第三方检测机构出具的有效检测检验报告（检测检验报告上须含有“CMA”或“CNAS”标志）。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风淋室</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单人双侧风淋室，全304不锈钢，自动互锁，含紫外灯</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净化板隔断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净化密闭单开门（EPS夹心），800x2000mm含门框、门扇、执手锁，表面喷塑密封，净化防尘防菌处理；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净化器具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超薄型平板净化器具，长条形，48W；适用场所：电子厂，制药厂，食品厂，化工业，医疗企业，手术室等有无尘需求的场所</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杀菌线紫外灯加延时警示灯，单独控制，独立线路，含安装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无菌室采用高效送风过滤；包含洁净风管、风管保温板、高效风口GK-8、高效风口GK-12、新回风阻尼网板、高效送风过滤送风箱、压差表、风管调节阀等，含安装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0"/>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PVC50排水管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PPR25给水管</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bottom w:val="single" w:color="000000" w:sz="4" w:space="0"/>
              <w:right w:val="single" w:color="000000" w:sz="4" w:space="0"/>
            </w:tcBorders>
            <w:tcW w:w="70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玻璃大视窗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5毫米玻璃，尺寸≥1200*1000mm；含四周铝合金框架</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净化系统集成服务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二间生物组培室设备运输、超净工作台、仪器柜、电子天平、磁力搅拌器、超纯水仪、紫外灭菌车、中央实验台、边台、实验凳等设备安装调试，卫生清洁，电源线及管材铺设</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3F-B0</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生物组培实验室2</w:t>
      </w:r>
      <w:r/>
    </w:p>
    <w:tbl>
      <w:tblPr>
        <w:tblStyle w:val="741"/>
        <w:tblW w:w="10015" w:type="dxa"/>
        <w:tblInd w:w="-3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60"/>
        <w:gridCol w:w="6303"/>
        <w:gridCol w:w="653"/>
        <w:gridCol w:w="680"/>
        <w:gridCol w:w="732"/>
      </w:tblGrid>
      <w:tr>
        <w:trPr>
          <w:trHeight w:val="4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1.流畅新颖的外形设计，体现了对现代理念的追求。新的设计，使称重的反应速度更快，定点更迅速。独特的金属底座及机械构造，确保了天平的稳定性，增加了天平的抗干扰性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2.具备多种计量单位转换，计数功能及动物称重功能，装置RS232C输出接口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3.称量范围(g)：0-300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4.可读性/精度：10mg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5.秤盘尺寸（mm）：Ф130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笔式酸度计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1.PH测量范围：0.00-14.00Ph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2.分辨率：±0.01Ph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3.校准点：3点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4.使用校准液：USA（ph4.01/7.00/10.01）或NIST（ph4.01/6.86/9.18）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5.温度补偿范围：0-50℃（32-122F）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6.温度补偿方式：自动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7.温度显示：显示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8.数据锁定：手动锁定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9.传感器类型：E-PHSCAN-ST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10.操作温度：0-50℃（32-122F）</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11.电源类型：4*LR44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12.电源使用时间：约80小时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13.外形尺寸：≥185（长）*40（直径）mm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磁力搅拌器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1.搅拌体积：50mL-20L标准或非标准反应瓶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2.整机设计：精致小巧；30°斜面操控面板；硅胶垫工作盘面；金属外壳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3.直流无刷电机，高磁通量设计，无马达驱动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4.工作盘尺寸（mm）Φ137mm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5.转速范围：200-1600rpm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6.定时范围：0~99h59min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7.搅拌点位数量1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8.单个最大搅拌量20L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9.搅拌子最长尺寸80mm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10.输入电源：AC220V50/60Hz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11.功率：20W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12.熔断器：250V,1A,Ф5x20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13.外形尺寸：≥W.160×D.270×H.70mm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1.自重轻，操作轻便省力，手柄挂钩设计</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2.数字视窗，所设置量程一目了然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3.采用陶瓷活塞，耐腐蚀效果好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4.免维护密封环，不易变形，使用更便捷</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5.采用新型材料，可整支121℃高温高压消毒，</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6.精确的分液，量程分别为： 0.5-10μL，10-100μL，20-200μL，100-1000μL，1000-5000μL，（一套）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en-US" w:eastAsia="zh-CN" w:bidi="ar"/>
              </w:rPr>
              <w:t xml:space="preserve">，且</w:t>
            </w:r>
            <w:r>
              <w:rPr>
                <w:rFonts w:hint="eastAsia" w:ascii="宋体" w:hAnsi="宋体" w:cs="宋体"/>
                <w:b/>
                <w:bCs/>
                <w:i w:val="0"/>
                <w:iCs w:val="0"/>
                <w:color w:val="auto"/>
                <w:sz w:val="21"/>
                <w:szCs w:val="21"/>
                <w:highlight w:val="none"/>
                <w:u w:val="none"/>
                <w:lang w:val="en-US" w:eastAsia="zh-CN" w:bidi="ar"/>
              </w:rPr>
              <w:t xml:space="preserve">检测</w:t>
            </w:r>
            <w:r>
              <w:rPr>
                <w:rFonts w:hint="eastAsia" w:ascii="宋体" w:hAnsi="宋体" w:eastAsia="宋体" w:cs="宋体"/>
                <w:b/>
                <w:bCs/>
                <w:i w:val="0"/>
                <w:iCs w:val="0"/>
                <w:color w:val="auto"/>
                <w:sz w:val="21"/>
                <w:szCs w:val="21"/>
                <w:highlight w:val="none"/>
                <w:u w:val="none"/>
                <w:lang w:val="en-US" w:eastAsia="zh-CN" w:bidi="ar"/>
              </w:rPr>
              <w:t xml:space="preserve">报告内移液器“示值允差±0.01μL”为合格</w:t>
            </w:r>
            <w:r>
              <w:rPr>
                <w:rFonts w:hint="eastAsia" w:ascii="宋体" w:hAnsi="宋体" w:cs="宋体"/>
                <w:b/>
                <w:bCs/>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移液器架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1.材质：普通pp</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2.外观：Z型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3.移液器安置数量：5支位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超纯水仪</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1.应用领域：常规实验用水、高压灭菌锅用水、清洗玻璃器皿和配制和稀释溶液用水等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2.进水要求：城市自来水，总溶解性固体量TDS≤300ppm，环境温度1—45℃，水压0.1~0.5MPa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3.产品重量约：2kg-55kg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4.工作电源（功率）：AC220V/50HZ                                                                                                  1.4机身尺寸：长435mm×宽360mm×高585mm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5.L1纯水产水水质：电导率≤5μS/cm@25℃；杂质去除率98%；蒸发残渣:≤2.0；可氧化物质含量（以O计）：≤0.4（mg/L）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6.产水量：10L/H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7.水质检测显示配置：配置在线检测显示监控仪，可同步检测显示：L1纯水电导率(μs/cm)和温度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8.水箱配备：真空压力无菌储水桶，容积10升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9.全自动微电脑控制系统：全自动制水，在线水质监控，实时显示水质的变化情况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10.具有RO反渗透膜全自动冲洗功能，延长RO膜的使用寿命，保证水质稳定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11.配备超纯水专用隔膜泵，采用纯实心加粗铜丝，底座设计降震处理，运行安静，可降低运行能耗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12.具有开机自检，缺水保护，断电复位功能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13.具备自动启停机功能，水满停机，缺水自启功能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14.系统适用于更多应用场景，用户还可通过手持式无线取水遥控器在180尺内实时任意制取L1纯水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15.系统拥有压力检测装置，当检测到压力超过系统设定值时，泵浦、电控阀停止工作，待压力降至安全值时，泵浦、电控阀自动工作，避免设备继续运行导致损坏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16.系统拥有全新模块化机箱，内置16英寸深层大容量强劲预处理柱， 可有效去除水中肉眼看不见的颗粒物，设计精致小巧，不占用地方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17.拥有手持式无线取水遥控器和遥控定量取水模式，带多档定量调节的手持式取水装置，可设置不同水量和多档位调节取水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18.采用模块化快接式设计，使维护保养更方便、快捷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19.整机符合人体工程学设计，水路电路分离设计，外形精致美观，保证机体整洁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1.仪器特点:大屏幕、数字式液晶显示、全量程温复合玻璃电极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2.同时测量或显示pH、温度或mV、温度</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3.电器接插件低于平面，有助于防腐和安全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4.仪器级别0.01级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5.测量范围pH:(-2.00~18.00)pHmV:(-1999~0)，（0~1999)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6.温度：(0~99.9)℃</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7.分辨率pH：±0.01；mV：±1mV；温度：0.1℃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▲8.示值误差pH：±0.01pH；</w:t>
            </w:r>
            <w:r/>
          </w:p>
          <w:p>
            <w:pPr>
              <w:jc w:val="left"/>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9.输入阻抗不小于1×1012Ω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10.稳定性±0.01pH/3h</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11.温度补偿范围（0~100）℃手动或自动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12.外形尺寸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300×220×90mm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13.仪器配置pH复合电极一支，pH标准缓冲试剂2套，自动温度补偿电极1支。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分析天平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1.大屏幕：真彩TFT液晶显示器，提供丰富的称量显示信息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2.操作方式：全屏触摸，即使戴多双手套也可精确操作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3.用户界面：双Metro配色方案，环保色彩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4.用户操作：丰富的操作信息提示，帮助用户更高效的完成工作流程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5.内置程序：标配的便于使用的内置应用程序，以用于各种称量任务，自带密度测量功能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6.显示屏防护罩：提供额外的防尘和防划保护，延长天平的使用寿命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7.玻璃门运输保护锁：有效的提供天平的运输保护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8.全铝制底座设计，防止低频震动，增强称量稳定性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9.实际分度值：0.0001g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10.最大称量范围：220g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11.可重复性标准偏差：0.0001g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12.校准砝码值：200g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13.类型：外部自动校准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紫外灭菌车</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1.形式:移动式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2.适用范围：微生物科研研究单位、医疗、卫生公共场所、组培生产车间等室内环境消毒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3.采用双灯管结构，并可以单独使用，灯臂角度可以180度调节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4.安全防护分类为I类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5.灯臂长度为：920mm+2mm,灯臂调节角度为0-180℃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6.定时器可以在120min内定时控制消毒时间，定时器工作完毕会自行断路而灯管熄灭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7.输入功率为：150VA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8.环境温度：5-40℃，相对温度：80%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9.电源：220V±22V 50Hz±1Hz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10.紫外线波长：253.7A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11.电流电压220V50Hz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12.功率2×30W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13.灯臂调节角度:0-180°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14.定时范围：1-120分钟，其最大定时误差&lt;=15min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15.消毒车采用消毒灯管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16.熔断器规格：FUSES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高压灭菌锅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1.灭菌有效容积：≥50L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2.最高工作压力：0.22MPa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3.最高工作温度：134℃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4.热均匀度：≤±1℃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5.计时控制范围：0～99min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6.压力温度控制范围：105～134℃/0.04～0.22MPa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7.功率/电源电压：3000W/AC220V.50Hz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8.安全特能：断水过热保护、电流过载自动切断、超压自动释放</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鼓风干燥箱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1.恒温方式：鼓风强行对流传递，热风循环，温度分布均匀</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2.结构内胆：抗腐蚀304不锈钢材料；外壳：优质钢板材料</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3.可视窗：双层钢化玻璃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4.性能：使用温度范围50~300℃</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5.显示分辨率：0.1℃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6.温控精度：±0.1℃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▲7.温度波动度：±1℃(100℃)</w:t>
            </w:r>
            <w:r/>
          </w:p>
          <w:p>
            <w:pPr>
              <w:jc w:val="both"/>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8.控制器温度控制方式：PID控制</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9.温度设定方式：按键设定</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10.温度显示方式：双排数码管四位显示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11.加热方式：O型干烧加热管</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12.附加功能：偏差修正、菜单按键锁定、停电补偿、停电记忆、PID可调</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13.传感器：PT100铂电阻</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14.安全装置：超温报警、短路保护、过热保护、声光报警</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15.规格：内尺寸（mm）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450*550*550</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16.内容积：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136L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1.容积：≥250L；</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2.控温范围：0～50℃；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3.温度波动度：±1.0℃；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4.温度偏差：±1.5℃；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5.温度不均匀度：≤1.5℃；</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6.温度最大可编程段数：多段，液晶显示器，光源为LED光源；</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7.光照级数：0～100级；</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8.光照度：0-12000lx；</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9.升温时间：10℃升至40℃为60分钟；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10.降温时间：40℃降至10℃为60分钟；</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11.工作方式：连续运行；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12.工作环境：温度0～40℃；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13.电源：220V50Hz；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14.内部尺寸≥500×500×1040（mm）；</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15.外部尺寸≥600×670×1650（mm）；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注：▲上述第3、4项，提供第三方检测机构出具的有效检测检验报告（检测检验报告上须含有“CMA”或“CNAS”标志）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光照培养架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1.应用范围：高中《生命科学》，有关选修课，组织培养等实验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2.产品外观：优质钢材经加工制成，分五层，每层层高40mm均分，最下层巨地面高20mm，整体结构牢固，光滑无毛刺，不氧化，无锈屑脱落，易擦洗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3.每层均配置荧光灯， 且各层独立布线控制启闭，每层灯独立开关，可视需要进行光照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4.控时器参数：即时工作指示灯；铜片结构优化设计；夏令时/冬令时功能；大屏幕液晶显示设定；最小时间间隔为1分钟,每天最多可设置20组开与关,每周可设置140组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5.光源：LED光源；照明电路：套管保护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6.外型尺寸（mm）:≥1200×400×1800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炼苗架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1.应用范围：植物炼苗生长、壮苗生长、光照影响探究等实验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2.产品外观：优质钢材经加工制成，整体结构牢固，光滑无毛刺，不氧化，无锈屑脱落，易擦洗；照明电路有套管保护，符合实验室对设备的牢固、安全、整洁美观要求。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3.外型尺寸（mm）：≥1200×400×1800，分五层、每层层高40mm均分，最下层巨地面高20mm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4.光源：植物专用生长灯光源，白红光双色或白红蓝三色，各层独立布线控制启闭，每层灯独立开关，可视需要进行光照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5.控时器参数：即时工作指示灯；铜片结构优化设计；夏令时/冬令时功能；大屏幕液晶显示设定；最小时间间隔为1min，每天最多可设置20组开与关，每周可设置140组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生态养殖系统</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1.设施由种植盆、定植盖、水培定植杯、碳钢主骨架及供回液管路组成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2.内置市蓄水池，通过水泵把水和营养液打到种植层，内置式补光灯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3.智能定时，四层种植层，一层为育苗层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4.智能光照模式可根据光照自动调节补光强度，智能水位报警功能。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1.准确度高及反应速度快；</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2.31/2位液晶显示；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3.测量范围:20/200/2000/20000lx；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4.过载显示；</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5.分辨率:0.1lx；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6.准确度:±3%rdg±0.5%f.s.(＜10,000lx)；±4%rdg±10dgts(＞10,000lx)；</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7.重复测试:±2%；</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8.温度特性:±0.1%/℃；</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9.取样率:2次/s；</w:t>
            </w:r>
            <w:r/>
          </w:p>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10.附件:皮盒、9V电池</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温湿度计</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1.超大屏幕液晶显示，直观方便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2.同屏显示温度、湿度、时钟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3.室内外双陆测温、单路测湿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4.温度测量范围:室内温度：-30℃~+50℃；室外温度：-50℃~+70℃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5.湿度测量范围：20%RH~90%RH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6.显示分辨率：温度：0.1℃；湿度：1%RH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7.测量精度：温度：±1℃；湿度：±5%RH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8.供电电压：1.5V（一节7号碱性电池）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9.12/24小时时钟显示，可设定定时、闹钟功能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10.最大、最小温湿度记忆功能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一次性培养皿1箱；酒精棉球2包，手套200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组培苗</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含150ml专用组培瓶，烟草、菊花等教学用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试剂盒</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植物的组织培养；菊花的组织培养；烟草的组织培养；百合的组织培养；月季的组织培养；草莓的组织培养；菩提的组织培养；小丽花的组织培养；彩叶草的组织培养；矮牵牛的组织培养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auto"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课程培训与服务</w:t>
            </w:r>
            <w:r/>
          </w:p>
        </w:tc>
        <w:tc>
          <w:tcPr>
            <w:tcBorders>
              <w:top w:val="single" w:color="000000" w:sz="4" w:space="0"/>
              <w:left w:val="single" w:color="000000" w:sz="4" w:space="0"/>
              <w:bottom w:val="single" w:color="auto"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1.全模块系统提升活动：遗传学+演化生物学+生物信息学（含生物技术）；动物学+动物生理+生态学+动物行为学；细胞+生物化学+分子生物学；植物学+植物生理学+微生物。</w:t>
            </w:r>
            <w:r/>
          </w:p>
        </w:tc>
        <w:tc>
          <w:tcPr>
            <w:tcBorders>
              <w:top w:val="single" w:color="000000" w:sz="4" w:space="0"/>
              <w:left w:val="single" w:color="000000" w:sz="4" w:space="0"/>
              <w:bottom w:val="single" w:color="auto"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auto"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640"/>
        </w:trPr>
        <w:tc>
          <w:tcPr>
            <w:tcBorders>
              <w:top w:val="single" w:color="000000" w:sz="4" w:space="0"/>
              <w:left w:val="single" w:color="000000" w:sz="4" w:space="0"/>
              <w:bottom w:val="single" w:color="000000"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生物实验室管理系统</w:t>
            </w:r>
            <w:r/>
          </w:p>
        </w:tc>
        <w:tc>
          <w:tcPr>
            <w:tcBorders>
              <w:top w:val="single" w:color="auto" w:sz="4" w:space="0"/>
              <w:left w:val="single" w:color="auto" w:sz="4" w:space="0"/>
              <w:bottom w:val="single" w:color="auto" w:sz="4" w:space="0"/>
              <w:right w:val="single" w:color="auto"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1、具备公司自主品牌的管理平台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2、支持管理后台主页显示常用的系统数据曲线和场所、模块、终端数量显示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3、支持用户自行创建管理场所，包括各种实验室、智慧农场等</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4、支持用户管理自有模块信息，模块可以配置到不同的场所，实现实时数据关联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5、支持用户定义终端，通过对不同厂家设备的参数配置，实现真正意义上的自定义物联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6、支持用户自行定义终端快捷动作，用户通过对终端指令的批量设置，可以实现方便的对设备进行多动作连续执行</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7、支持用户自行定义传感器设备，不仅限某个指定厂家，只要协议兼容，都能方便接入传感器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8、支持用户执行器定义，用户可以通过后台定义不同厂家的执行器，从而方便接入控制设备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9、支持用户查看授权的资源信息，包括各种培训资料、教材、音视频文件、课件等分类的资料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10、支持给上传特聘专家为平台终端用户老师提供专门的专家提问场景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11、支持将所有的终端动作进行记录，为设备的采样、执行、状态获取等提供可追溯的数据</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APP/小程序端：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1、具备公司自主品牌的微信小程序、安卓APP、苹果H5APP</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2、主页支持显示基本信息、场所、模块、终端、配件、资源、报修、专家互动、商城推荐、服务热线、案例展示等快捷通道</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3、基本信息页面支持显示单位信息、报修、计划任务、硬件配置等重要资料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4、支持展示用户自己的场所信息、模块信息</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5、支持展示用户自己的终端信息，终端信息列表呈现对应终端在在线状态</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6、支持用户读取传感器信息，不同终端进入后可以看到挂载的不同传感器，对传感器数据进行实时读取并显示，支持市面上各类传感器类型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7、支持用户读取执行器状态，并控制执行器，实现不同的控制目的</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8、支持用户自定义任务计划，用户可以设置不同形式的任务计划，实现对终端的定时控制、定期循环控制等自执行操作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10、支持用户查看平台推送的各种资源课件等资料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11、支持用户对特聘专家进行提问，并在专家回复后查看回复</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12、支持用户自助报修，通过平台报修界面实现对不同终端设备的在线自助报修</w:t>
            </w:r>
            <w:r/>
          </w:p>
        </w:tc>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auto" w:sz="4" w:space="0"/>
              <w:bottom w:val="single" w:color="000000" w:sz="4" w:space="0"/>
              <w:right w:val="single" w:color="000000" w:sz="4" w:space="0"/>
            </w:tcBorders>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auto"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tcBorders>
              <w:top w:val="single" w:color="auto"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规格：3000×1200×850mm（±5mm）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auto"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规格：2100×600×850mm（±5mm）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台面板材：采用≥12mm实芯理化板，耐强酸碱、耐腐蚀、耐有机溶剂，抗菌、抗污染、防水、防火。四周边缘加厚至24mm，并经精密加工、倒角、打磨，呈光滑半圆形，注重人性化设计，美观实用。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台的结构：铝木结构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可调脚：采用模具成型PC＋ABS工程塑料合金注塑专用垫，高≥25mm，可隐蔽固定，防止晃动，并能有效防止桌身受潮，延长设备的使用寿命。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药品柜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柜体：柜体框架主体壁厚采用≥4mm工程级聚丙烯材料注塑成型，具有耐腐蚀、耐酸碱、防水、耐热，耐候性能强、表面硬度、高弹性、韧性、电绝缘性等稳定物理、化学性能，背板采用≥8mm耐腐蚀PP中空板。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柜门：上下柜门采用对开门设计，柜体门框采用工程级聚丙烯材料一体化注塑成型，嵌入式设计厚度≥4mm玻璃柜门，配置数码锁，便于老师日常管理。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铰链：柜门与柜体框架选用内置式免螺丝安装方式，材质选用工程级耐腐蚀、抗磨尼龙铰链。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通风导流设计：药品柜由上下柜体组合而成，上下柜之间设有≥于Ø110mm导流孔，为保障药品柜内部风压均匀，柜体中间设计导流板，柜体两侧内部设计导流槽。柜体下方设有进气孔，顶部设有通风孔位。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药品托盘：上下层柜体共设有≥12个活动式药品托盘。药品托盘采用3mm工程级聚丙烯一体注塑成型，药品托盘设计高度≥16mm挡边防止药品滑落及液体洒下，背面设计加强筋增加药品托盘综合性能。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可调脚:采用工程塑料模具成型制作而成，具有高度可调、耐磨、 防潮、耐腐蚀等特点。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生物组培室器材</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48W实验用器材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尺寸≥2000*800mm，双层5MM玻璃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隔断</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1.双层5MM钢化玻璃，内置百叶，铝合金外框，包含安装。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2.包含所需所有五金件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实验室地面</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实验室水电</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电箱一套含电气元气件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402"/>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电线电缆，符合国家标准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left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79"/>
        </w:trPr>
        <w:tc>
          <w:tcPr>
            <w:tcBorders>
              <w:top w:val="single" w:color="000000" w:sz="4" w:space="0"/>
              <w:left w:val="single" w:color="000000" w:sz="4" w:space="0"/>
              <w:bottom w:val="non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地插座和开关面板</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常规吊顶</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矿棉板吊顶（600*600mm，轻钢龙骨)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墙面粉刷</w:t>
            </w:r>
            <w:r/>
          </w:p>
        </w:tc>
        <w:tc>
          <w:tcPr>
            <w:tcBorders>
              <w:top w:val="single" w:color="000000" w:sz="4" w:space="0"/>
              <w:left w:val="single" w:color="000000" w:sz="4" w:space="0"/>
              <w:bottom w:val="single" w:color="000000" w:sz="4" w:space="0"/>
              <w:right w:val="single" w:color="000000" w:sz="4" w:space="0"/>
            </w:tcBorders>
            <w:tcW w:w="630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优质环保乳胶漆，一遍底漆三遍面漆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26、</w:t>
      </w:r>
      <w:r>
        <w:rPr>
          <w:rFonts w:hint="eastAsia" w:ascii="宋体" w:hAnsi="宋体" w:eastAsia="宋体" w:cs="宋体"/>
          <w:b/>
          <w:bCs/>
          <w:color w:val="auto"/>
          <w:sz w:val="21"/>
          <w:szCs w:val="21"/>
          <w:highlight w:val="none"/>
        </w:rPr>
        <w:t xml:space="preserve">4F-B01 B02数字化实验室</w:t>
      </w:r>
      <w:r/>
    </w:p>
    <w:tbl>
      <w:tblPr>
        <w:tblStyle w:val="741"/>
        <w:tblW w:w="9991"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960"/>
        <w:gridCol w:w="6290"/>
        <w:gridCol w:w="653"/>
        <w:gridCol w:w="680"/>
        <w:gridCol w:w="732"/>
      </w:tblGrid>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教师演示台</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规格：2400×750×850mm（±5mm）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台面颜色：学校自由选择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产品结构：铝木结构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用材：采用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封边：采用≥16mm厚优质E1级环保三聚氰胺双贴面防潮板，所有板材外露端面采用高质量PVC封边条，利用机械封边机配以热溶胶高温封边，高密封性不吸水、不膨胀，外型美观、经久耐用。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台身设计：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组装接缝严密，连接牢固，无松动现象。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可调脚：采用模具成型PC＋ABS工程塑料合金注塑专用垫，可隐蔽固定，高≥25mm，可暗藏固定防止晃动，并能有效防止桌身受潮，延长设备的使用寿命。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学生实验桌</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规格：1500×1200×780mm（±5mm）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1、产品规格：360×430mm（±5mm），有效座位高度420-540(高度可调)（±5mm）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学生实验凳</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1、产品规格：凳面直径320mm（±5mm），高度380-480mm（±5mm）（高度可调）（±5mm）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凳面采用≥3mm厚聚丙烯（PP）一体注塑成型，接触面为皮纹处理，采用曲面设计增加接触面积，符合人体工程学增强坐感舒适度；凳面弧形挡边设计，可有效纠正学生错误坐姿；学生凳选用优质气杆，与凳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电源功能柱</w:t>
            </w:r>
            <w:r/>
          </w:p>
        </w:tc>
        <w:tc>
          <w:tcPr>
            <w:tcW w:w="6290"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1.规格：≥110*70*700mm；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2.材质：主体支撑材质采用1.2mm厚度铝型材一次挤压成型，铝型材表面经电泳、静电环氧树脂粉末喷涂处理，具有耐腐蚀、防火、防潮等功能，美观实用。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功能操作面板采用工程塑料材质，安装于主体支撑结构侧面；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3.功能：功能操作面板预留电源功能模块，功能模块成竖向分布，方便学生使用。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4.采用嵌入式拼插方式安装于L型桌，与L型桌配套使用。</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智慧教学录播终端</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1、主机采用嵌入式设计，高度集成化包括独立完成视频采集、音频采集、音频编码、视频编码、音频处理、视频处理、直播、录制、互动、等参数设置功能；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2、主机须满足摄录一体化要求内置摄像头采用1/2.5英寸CMOS传感器，有效像素要求超过1000万。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3、要求设备支持≥1路高清视频输入HDMI in，≥1路数字视频输入D-Video in，≥1路高清视频输出HDMI out，≥1路线性音频输入Line in，≥1路线性音频输出Line out，≥2路数字音频D-MIC；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4、要求设备支持≥1路USB，≥1路以太网口，网口支持100/1000Mbps自适应，并支持IPv4、IPv6双协议栈；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5、数字视频接口支持连接一路高清摄像机，可直接传输高清视频数据，有效避免网络摄像机编码传输的延迟和损耗，实现无延迟、低损耗的高清视频信号采集；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6、要求视频采集支持网线“一线通”技术，摄像机的供电、控制、视频传输均可通过一根双绞线完成；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7、要求音频采集支持网线“一线通”技术，麦克风的供电、控制、视频传输均可通过一根双绞线完成，确保音频信号的优质、抗干扰稳定传输；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8、要求支持H.264编码协议，AAC音频编码协议，RTMP、RTSP视频传输协议，H.323、SIP、BFCP、WebRTC视频通信协议，视频封装格式MP4、TS；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9、主机采用不高于DC 24V的安全电压供电，节能环保，满负荷功耗不高于24W；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10、要求主机支持壁挂式安装便于视频采集与处理；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11、要求主机支持数字视频传输技术，摄像机的视频采集和传输到主机无需编解码处理，保证声画同步与录制视频质量；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12、要求设备工作时间产生噪声最大值≤17dB(A)；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二、功能设计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13、要求设备支持自定义工作模式，实现通电后的自动开机工作或待机休眠等状态；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14、支持不同语言的系统版本，满足中英双语使用需要。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15、要求系统支持后台权限设置，满足管理员用户和普通用户两种角色的使用需要，确保系统后天设置稳定可控；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16、要求系统支持工作时间自定义，可自主设置设备休眠与唤醒的时间，时间可精确到秒；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17、为保证视频拍摄质量，要求内置智能音频处理算法包括AEC回声抑制、AGC自动增益、ANS噪声抑制、EQ智能均衡等；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18、要求系统支持存储智能清理功能，系统在存储接近满载的情况时，将自动清理系统内录制日期最老的录像文件；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19、要求系统支持对外接的高清摄像机进行远程配置，统一维护和管理界面，快速调整拍摄画面质量；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20、要求系统在自定义布局、多信号录制直播的情况下所有信号画面保持绝对同步无延迟的拍摄效果满足最佳的使用体验；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21、要求系统在接入高清摄像机的情况下可实现双机位与HDMI信号的全自动跟踪拍摄；</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1、录播系统可支持通过浏览器登录软件进行管理，至少包括系统基本设置、录像文件管理、设备安装信息；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2、可在导播后台看到涵盖内置与外接摄像机以及HDMI信号等所有预览画面、并支持点击不同机位快速调整录制画面或全自动跟踪切换画面；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3、支持多画面布局、编辑LOGO字幕与片头片尾等，满足用户快速的视频处理与使用；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4、支持录课模式和互动模式两种不同应用场景下的针对性音频处理能力，适应不同场景下的音频指标差异，实现免调试自适应；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5、支持在后台设置直播音频比特率、录制音频比特率以及音频采样率以实现不同场景的音频质量配置；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6、支持外接U盘并在录制完成后录像文件自动同步到U盘中存储，且支持ftp或其他网络传输技术对接外部存储设备实现分布式录制以及自动化集中式存储；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7、支持双码流同步录制，满足不同清晰度的使用需要；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8、支持设置按时间对视频录制进行分段处理，提供≥3种分段方式；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9、支持对录制视频按主讲人或文件名进行模糊检索，并查看视频的时长、分辨率、帧率、码率、编码标准等录像文件视音频指标，支持对录像文件进行回放和下载；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10、支持自定义推流分辨率和码率，码率64Kbps~4096Kbps范围可设，以适应不同网络环境下保持直播的流畅性；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11、支持对接云服务商CDN加速平台，设备可与之实现无缝对接，通过在设备端快速导入推流地址，一键即可完成通过CDN加速平台面向互联网的高并发直播应用；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12、支持通过直接呼叫短号快速发起互动会议；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13、支持关联互动通讯录并创建分组，实现便捷化的会议呼叫；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14、支持显示最近呼叫过的终端记录，便于快速回拨；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15、支持基于“SVC”可伸缩视频编码技术的网络自适应功能，保证互动画质；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互动功能下设备自定义应答设置，默认支持自动应答与勾选手动应答两种方式以满足在专递课堂场景下听讲端的自动入会，以及在其余场景下录播教室内的用户接收到互动申请可自主选择是否加入会议的情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17、支持通过PC客户端导播APP完成基础的设备控制、如录制、直播、互动发起、画面的预览；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18、支持通过PC客户端APP实现录像文件的下载、删除；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19、PC客户端APP支持通过账密鉴权的形式保证录播终端控制的安全可控；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20、支持通过PC客户端APP实现互动状态下的白板同屏交互协作，包括画笔、橡皮擦等实现互动过程中的快速批注；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21、支持通过PC客户端APP实现互动状态下的截图与屏幕共享；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22、支持通过PC客户端APP实现多人协作的会议开展，多人协作点数支持≥3；</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AI高清云台摄像机</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1、CMOS传感器，≥1/2.5英寸，有效像素≥800万；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2、支持预置位个数≥255个；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3、综合变焦倍数≥20倍；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4、支持3840x2160, 1920x1080, 1280x720等分辨率大小；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5、要求具备机械云台可进行转动跟踪。水平转动速度范围≥1.0°~ 94.0°/s，垂直转动速度范围≥1.0°~ 74.0°/s；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6、最低照度0.5Lux @ (F1.8, AGC ON)；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7、支持水平、垂直翻转；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8、支持背光补偿；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9、支持2D＆3D数字降噪；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10、支持≥1路D-Video数字视频接口，≥1路网络接口，100/1000Mbps自适应；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11、支持通过RJ45口的网线一线通，实现基于一根双绞线完成摄像机供电、控制和视频信号同步传输；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12、支持视频H.264、H.265编码协议；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13、支持G.711A、AAC、OPUS等音频编码协议；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14、内置AI智能跟踪算法，通过单个摄像机即可完成人脸与肢体的AI识别并完成全程自动跟拍；</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3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02"/>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AI摄像机管理软件</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1、支持通用浏览器直接访问摄像机管理软件；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2、支持抗频闪、并支持设置摄像机光圈、快门、动态识别范围设置；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3、支持设置拍摄画面的亮度、对比度、饱和度；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4、支持自动、手动的曝光模式设置；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5、支持设置手动或自动白平衡，并可选择红色与蓝色的增益设置；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6、支持摄像机图像质量调节功能，包括亮度、对比度、色调、饱和度；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7、支持摄像机的PTZ控制、包括云台的上下左右、调用预置位、自适应焦距调节等；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8、支持内置AI算法的PTZ控制辅助，在AI跟踪模式下摄像机可实现水平、垂直、焦距、聚焦的实时协同调节，且不会因为云台的移动调节导致画面虚焦，保证拍摄画面的稳定高清；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9、支持面向不同的拍摄对象可选择五分、七分或全身的拍摄模式；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10、支持内置AI人脸特征识别技术，通过识别面部特征锁定需要跟拍的对象，避免目标出画丢失后，选择错误的对象进行跟踪；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11、支持内置AI肢体识别技术，在识别面部特征基础上结合肢体分析实现交叉识别，确保拍摄多人场景时不跟丢、不误跟，持续锁定跟拍对象；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12、支持设置跟踪检测区域，确保跟踪锁定拍摄的灵活性；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13、支持设置解除锁定跟拍对象时间，被跟拍人员脱离跟踪拍摄区域后开始计时，到达解除时间后自动解除目标跟拍锁定，回归默认状态，待下一位人员进入画面中开始重新锁定跟踪。</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rPr>
                <w:rFonts w:hint="default" w:ascii="宋体" w:hAnsi="宋体" w:eastAsia="宋体" w:cs="宋体"/>
                <w:i w:val="0"/>
                <w:iCs w:val="0"/>
                <w:color w:val="auto"/>
                <w:sz w:val="21"/>
                <w:szCs w:val="21"/>
                <w:highlight w:val="none"/>
                <w:u w:val="none"/>
                <w:lang w:val="en-US" w:eastAsia="zh-CN"/>
              </w:rPr>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数字麦克风</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1.指向性：超心型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2.频率响应：40Hz—16kHz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3.灵敏度≥-7dB±1dB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4.最大声压级≥110dB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5.信噪比≥62dB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6.动态范围≥78.5dB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7.使用电源：麦克风一线通供电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8.输出接口：RJ45，数字音频接口</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录制面板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1.要求面板具备信号指示灯。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2.支持一键式系统电源开关控制；一键式录制、停止、锁定电脑信号。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支持本地录播全自动的开启、关闭控制。该功能同时支持录播模式和互动模式。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支持通过面板一键发起与远端设备互动连接。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支持对各画面的自由布局控制，包括单画面全屏、双分屏、三分屏、四分屏、画中画，并传输到听课室。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6.支持远程“一键静音”功能，主讲端可一键关闭远端互动教室发言，进入主讲授课模式。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1.高中物理虚拟实验包含物理电学、电磁学、力学、光学各部分的三维仿真实验，学生能够随时随地验证自己的想法，无需受到特定的实验室环境和器材限制。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2.支持用Unity引擎开发的全三维实验资源，为学生直观的展示物理实验的宏观和微观世界，学生可以直观的观察真实的实验现象和实验结果。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10.提供物理电学相关的实验，能够正确模拟任意的复杂电路和现实规律，学生能够任意设计实验、自由搭建电路、修改器材参数，提供电路图、表格、I-R图像、I-U图像等常用支持实验的插件。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11.能够正确模拟光的干涉实验，支持自主搭建正确的实验装置，至少可修改三种器材参数，观察不同双缝间距、不同遮光筒长度、不同滤光片下的现象；真实模拟螺旋测微仪的使用，可测量条纹间距。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12.能够真实模拟牛顿第二定律实验，数据贴近现实，学生能够任意设计实验参数，提供表格、a-F图像、a-M图像、a-1/M图像等功能。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16.学生在实验过程中可以一键还原实验状态，重新开始做实验。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1.高中化学虚拟实验涵盖了常用化学器材和实验药品，学生可以自己动手做实验，体验真实实验操作流程，从而在操作中掌握每种器材、药品的正确操作方法、反应规律以及实验步骤。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2.支持用Unity引擎开发的全三维实验资源，为学生直观的展示化学实验的宏观和微观世界，学生可以直观的观察真实的实验现象和实验结果。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能够正确模拟乙醇的消去反应，并且进行实验药品的选择、实验装置的选择两种拓展性实验的探究，包含的拓展实验数量不少于4个，实验药品不少于5种，实验发生装置不少于3种，实验要求可以对药品和装置进行自主设计、自由搭建，并高度仿真实验操作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15.系统支持高中化学教材中选做和必做的分组实验、演示实验、探究实验，包含但不限于乙醇的消去反应、探究溴苯的制备、验证合提纯、反应条件对FeCl3水解平衡的影响、强酸强碱的中和滴定等实验。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02"/>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生物虚拟实验室系统</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1.高中生物虚拟实验，支持用WebGL引擎、Unity引擎开发的全三维实验资源，为学生直观的展示生物实验的宏观和微观世界，学生可以直观的观察真实的实验现象和实验结果。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2.可随意平移、旋转实验视角，支持用户从任意视角、任意距离观察实验台，能够高度自由交互操作。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3.系统须优化处理，确保实时运行帧数高于25帧/秒。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4.系统支持用户对实验装置进行认知，鼠标移动到对应设备上给予名称提示。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5.支持键盘鼠标与触屏操作自由转换，良好适配触摸一体机、电子白板及课堂电脑。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6.实验操作高度自由，操作模拟真实实验操作过程，不可采用下一步下一页等自动化动画以及大量文字按钮替代仿真操作。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7.支持用户自由拖拽、移动、旋转实验器材和药品，学生可以不受实验步骤限制，自主选择器材、自由操作，系统给出相应的结果。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8.系统对于学生的错误操作要给与提示，高度仿真错误及异常现象。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9.系统提供实验详情、实验指导，为用户呈现实验目的、实验原理以及实验步骤，用户在实验过程中可以随时点击查看。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10.系统提供实验数据记录、实验表格填写以及实验报告撰写功能。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11.实验结构清晰，覆盖教学知识点，能快速高效完成课堂演示。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12.学生在实验过程中可以一键还原实验状态，重新开始做实验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13.探究类和操作类实验，能抽象的反应过程，用户可以直观的观察真实的实验现象和实验结果。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14.系统能够快速完成周期长类实验，数据结果随机性高、科学真实，不能使用计算机模拟写死的动画代替变化的实验结果，锻炼学生的数据分析处理能力。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提供显微镜仿真实验，每一部件均可仿真操作，可以一键调整也可分步操作。提供显微镜下高清图像，可全屏展示，可拖动平移图像，转换倍数。显微图像配有多种颜色的画笔，支持板书功能，并设有橡皮、清除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16.系统支持高中生物教材中选做和必做的分组实验，包含但不限于物质的碳循环、土壤微生物对落叶的分解作用、土壤微生物对淀粉的分解作用等实验。</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电源总控台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装置在演示台内：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规格：≥550×265mm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触摸键控制，薄膜面板装置在演示台内，输入电压220V，其主要技术参数指标如下：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1、微电脑控制、智能设计、触摸按键，使用开关电源，功耗特小、负载能力强，在压降大时结温不变，质量非常稳定；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2、设有电源总开关、漏电保护开关、工作指示表、220V交流输出等多种操作功能；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3、密码开机：有密码记忆功能、只有相关老师输入正确密码后方可打开设备进行操作；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4、定时关机：本产品还具有定时功能，从开机时间起，一小时后自动关机；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6、0-30V交流电压电源，分档输出（具有短路、过载自动保护、自动复位功能）；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7、1.25-30V精密稳压电源，分辨率为0.1V，具有短路、过载自动保护、自动复位功能；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9、高压小直流电压：300V/150V、0.1A，有自动保护功能，保护电流为100MA；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10、控制学生所有供电输出。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11、配套电源控制箱，具有过载、短路等保护功能。</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多功能水槽台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规格尺寸：≥500×600×1030H/水槽深度270mm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水槽台上部为多功能安装平台采用≥3.8mm厚工程塑料整体模具注塑成型，多功能平台集成学生电源，USB接口、三联水嘴、8试管位滴水架。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2、学生电源固定安装于两侧，220V交流电源：每台配备220V交流输出,低压交流电源2-30V/3A（2V一档）（短路、过载自动保护、自动复位）；低压直流电源：1.25V-30V/3A，学生可进行微调；交直流电压均采用数码显示；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3、多功能安装平台装配有USB接口;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4、水槽与台面采用≥3.8mm厚工程塑料整体模具一体注塑成型，台面设有溢水口及台式洗眼器，四周边缘设计挡水边。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5、三联水嘴采用工程塑料模具注塑成型。</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无线视频展台</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1.像素≥500万（分辨率2592*1944），帧数≥无线720P和1080P不低于25帧/秒2.拍摄镜头机械折臂270度翻转式（非软管式）：90度可拍摄文稿；180度可拍摄课堂活动，用作简易的录播系统；270度可录制微课。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3.磁吸式航空铝合金底座，底座和机身可分离。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连接方式：支持无线WIFI多点连接，无线传输频率150M/S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5.支持Windows、MAC OS系统使用，其中MAC OS运行的教学软件支持实时视频展示、图片任意角度旋转、图片缩放、图片拍照、实时音视频录制等教学功能。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6.支持图像自动纠偏、裁边、自动展平的处理功能，提供对比教学和实物展示功能，支持2、4、6画面同屏展示进行对比教学。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7.无线支持多场景微课录制，包括电脑屏幕、实物展示、PPT、分屏对比等内容一次录制成同一个MP4格式的视频文件，无须二次转换格式。</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3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实验室给排水管</w:t>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上水立管φ20mm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上水三通φ32-20mm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上水辅管φ32mm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外丝阀门φ20mm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下水立管φ50mm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PVC三通φ75-50mm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下水辅管φ75mm</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6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实验室电气管线</w:t>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电源线为国标2.5铜芯多股电线，符合国家标准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电线4平方，符合国家标准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电线1.5平方，符合国家标准</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tcW w:w="67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60"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629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管材为PVC(国标)管，DN25</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W w:w="732"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注：包含整室教师演示台、实验椅、学生实验桌、学生实验凳、电源总控台、电源功能柱、智慧教学录播、虚拟实验室系统等设备组装调试人工费，现场清理,设备运费，电源线及管材铺设、安装调试费等综合考虑在投标报价中，不单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27、</w:t>
      </w:r>
      <w:r>
        <w:rPr>
          <w:rFonts w:hint="eastAsia" w:ascii="宋体" w:hAnsi="宋体" w:eastAsia="宋体" w:cs="宋体"/>
          <w:b/>
          <w:bCs/>
          <w:color w:val="auto"/>
          <w:sz w:val="21"/>
          <w:szCs w:val="21"/>
          <w:highlight w:val="none"/>
        </w:rPr>
        <w:t xml:space="preserve">4F-B02 B04实验员工作室</w:t>
      </w:r>
      <w:r/>
    </w:p>
    <w:tbl>
      <w:tblPr>
        <w:tblStyle w:val="741"/>
        <w:tblW w:w="10000"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05"/>
        <w:gridCol w:w="6330"/>
        <w:gridCol w:w="670"/>
        <w:gridCol w:w="653"/>
        <w:gridCol w:w="733"/>
      </w:tblGrid>
      <w:tr>
        <w:trPr>
          <w:trHeight w:val="499"/>
        </w:trPr>
        <w:tc>
          <w:tcPr>
            <w:tcW w:w="7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设备技术参数说明</w:t>
            </w:r>
            <w:r/>
          </w:p>
        </w:tc>
        <w:tc>
          <w:tcPr>
            <w:tcW w:w="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实验员桌</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规格：≥1200×600×780mm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台面：一体化台面，采用≥40mm厚刨花板双面外贴防火板加工制作，四周采用ABS封边，具有防火、耐磨、耐高温、耐刮、抗渗透、容易清洁等优点；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产品结构：铝合金结构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立柱采用≥100×50mm壁厚≥1.3mm“L”型铝镁合金立柱一次挤压成型；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横梁为≥40×40×1.2mm铝合金方管；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连接转角规格为≥165×180×100mm，根据产品内部结构差异，采用铝合金压铸工艺一次成型，配模具ABS工程塑料防尘堵头；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铝镁合金表面经电泳、静电环氧树脂粉末喷涂处理，具有耐腐蚀、防火、防潮等功能，美观实用。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脚垫：采用模具成型PC+ABS工程塑料合金注塑专用垫，可隐蔽固定，可避免水浸及防潮,有效延长设备寿命。</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实验椅</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1、产品规格：≥360×430mm，有效座位高度420-540(高度可调)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技术参数：椅面采用聚丙烯中空吹塑成型，接触面为防滑处理，采用曲面设计增加接触面积，符合人体工程学增强坐感舒适度可有效纠正学生错误坐姿；学生椅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70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仪器柜</w:t>
            </w:r>
            <w:r/>
          </w:p>
        </w:tc>
        <w:tc>
          <w:tcPr>
            <w:tcW w:w="63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规格：1200×500×2000mm（±5mm）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结构：塑铝结构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铝合金框架结构，主立柱采用规格不小于50×50×1.5mm铝型材，支撑横梁采用规格不小于50×40×1.2mm铝型材，配以金属连接件组装而成。铝型材表面经酸洗、磷化、环氧树脂高温固化处理，具有外形美观、经久耐用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2.整体为上下对开门结构，门板框架采用PP材质，内嵌厚度不小于5mm玻璃。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3.柜体内含四层活动隔板，活动隔板采用厚度不小于16mmE1级优质三聚氰胺环保板。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4.柜体内置轨道式钢制可调立杆，每块活动隔板下加两根横梁。所有基材采用≥16mm厚E1级优质三聚氰胺环保板。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5.调节脚:采用工程塑料模具成型制作而成。</w:t>
            </w:r>
            <w:r/>
          </w:p>
        </w:tc>
        <w:tc>
          <w:tcPr>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W w:w="7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注：包含</w:t>
      </w:r>
      <w:r>
        <w:rPr>
          <w:rFonts w:hint="eastAsia" w:ascii="宋体" w:hAnsi="宋体" w:eastAsia="宋体" w:cs="宋体"/>
          <w:i w:val="0"/>
          <w:iCs w:val="0"/>
          <w:color w:val="auto"/>
          <w:sz w:val="21"/>
          <w:szCs w:val="21"/>
          <w:highlight w:val="none"/>
          <w:u w:val="none"/>
          <w:lang w:val="en-US" w:eastAsia="zh-CN" w:bidi="ar"/>
        </w:rPr>
        <w:t xml:space="preserve">整室实验员桌、实验椅、仪器柜设备组装调试人工费，现场清理，设备运费、安装调试费等综合考虑在投标报价中，不单列。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物理实验仪器  </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933"/>
        <w:gridCol w:w="6376"/>
        <w:gridCol w:w="653"/>
        <w:gridCol w:w="697"/>
        <w:gridCol w:w="680"/>
      </w:tblGrid>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钢直尺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1、产品为钢制直尺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2、产品一面有200mm长的毫米标尺，另一面为英寸标尺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1、产品由标尺和游标组成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2、产品测量长度150mm，精度值0.02mm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外径千分尺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1、产品为金属制外径千分尺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2、产品测量长度25mm，精度值0.01mm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1、产品由卡尺、显示屏和电池组成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2、卡尺测量长度150mm，精度值0.01mm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2、产品最大称量值：500g,精度值0.5g</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金属槽码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1、产品为双道计时电子停表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2、产品可显示时间日历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3、产品精度0.01S</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本产品成套仪器应包括打点器、重锤、纸带、复写纸和弓形夹组成。1.工作电压：50Hz 9v交流电；2.连续工作时间不超过10分钟；3.打点周期稳定，周期相对误差不大于1%；4.重锤质量为300g；5.当纸带移动速度约3m/s时，点子长度不大于1.2mm，不小于0.3mm。6.纸带宽度为17.5mm。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2、测量范围：0℃～200℃，精度值2℃</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集成温度传感器，-50℃～+150℃，  分辩率0.1℃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产品刻度清晰,测温准确,测量范围-50℃～0℃～+50℃.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1、产品由方形弹簧盒（带刻板）、弹簧、提环、挂钩、指针等组成。零点可调。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2、产品规格：5N。 精度值0.1N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1、由刻度板、弹簧、指针、拉压杆、悬挂定位装置等组成。指针可调。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2、量程0～10N,精度值：0.2N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双向测力计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1、产品由刻度板、弹簧、指针、双向挂钩等组成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2.5级，检流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惯性演示器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产品由底座、立柱、钢球、弹片，薄形钢片和钢球组成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1、产品由摩擦板和摩擦块组成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2、摩擦板尺寸：500*50*10mm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3、摩擦块尺寸：100*40*30mm，上面有2个砝码孔，顶端有挂钩</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0.5N，1N，2N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螺旋弹簧组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3N，5N</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帕斯卡球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产品由气筒、圆球和喷咀、活塞等组成。喷咀10个，分别在各个不同的方向。气筒直径25mm，长200mm，钢管表面烤漆。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由激光笔，反光镜等组成，利用光杠杆原理。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每套带支杆单滑轮、尼龙线、桌边夹各3件，小铁环1件，支杆高度可调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滚摆</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滚摆由摆体（摆轮和摆轴）、悬线、支柱、横梁和底座组成。摆轮直径不小于Φ125mm。摆轴直径不小于Φ8mm，长不小于160mm，轴上两个穿线孔距离140mm，穿线孔径Φ1.5mm。支柱高不小于400mm，横梁长240mm。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1、由钢球、环形轨道等组成。2、小球重约70G。3、环形轨道为电镀铁制品，底座长：270mm，宽：100mm，高：12mm。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由机座、主动轮(附摇柄)和从动轮等组成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长度不小于1200mm，一端高度可连续升降，连接曲面光滑</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可做匀速-匀速、匀速-匀加速运动合成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利用电火花计时，车拖纸带式，打点有效距离不小于900mm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轨道打点式，打点有效距离不小于600mm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1、产品由斜面板、底板、小车、支撑杆、摩擦块和滑轮等组成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2、斜面板、底板为木质，长度分别为80cm、120cm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本仪器由铝合金主体、自由落体显示仪、电磁铁、接球网、钢球、光电门(4个)等组成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产品由二层结构轨道、小车、刹车装置、滑轮、塑料小桶等组成。轨道为铝制，高度可调。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产品由金属筒、橡皮塞、小车和铝杯组成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半定量实验1、大刻度板；2、定位圈及滑杆；3、小滑块；4、圆筒；5、弹簧及释放手柄；6、底座7、小刻度板；8、大滑块；9、导轨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同步计时打点描迹，悬浮式平抛</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仪器由机座、传动轮、变速盘、旋臂、弹簧、标尺及横臂等部件构成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产品由底座、支架和5个吊线钢球组成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叉、橡皮槌、共鸣箱，频率256Hz，音叉应为45#碳钢制成，表面镀铬，四面平直棱角应整齐，音叉总长190mm，叉枝厚5mm，厚度差不大于0.05mm，两支股内间距8mm，圆柄Φ7mm。槌头为橡胶，直径不小于20mm，长度160mm，共鸣箱应采用实木制成，空心，箱体带音叉插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声速测量仪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本仪器为塑壳便携式，整机耗电不大于2.5伏安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共振音叉</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1、产品由2个相同共鸣箱、2个相同音叉、橡皮锤和变频箍组成，440Hz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绳波演示器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横波、行波、驻波、模拟偏振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波动弹簧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波动演示器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帘式  由纵波振子 横波振子 拨盘 偏心轮 相位盘 摇柄等组成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发波水槽</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产品由1振心轮 2振片 3软轴 4电机 5插母 6插头 7振源 8振子 9电机座 10旋钮 11水槽等组成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水平式和竖式  1.由吊绳 支杆 底座 拉簧金属振子等组成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产品由铝合框体、走纸装置、描迹纸、火花描迹器、气垫式弹簧振子等组成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单摆组</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5个摆球</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产品由1三角支脚2立柱3横杆4悬点螺钉5立柱夹6上标尺7下标尺8空心摆球9钢球10玻璃球11塑料球12摆线  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改变策动摆摆长，可分别使5个摆长不同的单摆共振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共振演示器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弹簧振子，电动机驱动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有挤压扳动器和刮削器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有气缸、底座、端盖、活塞等部分组成。透明外壳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双金属片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用热敏电阻演示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纸盆扬声器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直径不小于200mm，8Ω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91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或有机玻棒(附丝绸)，教师用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或聚碳酸酯棒(附毛皮)，教师用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绝缘套筒、金属杆、集电板、箔片和刻度板组成，教师用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箔片验电器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产品由底座、外壳、 绝缘套筒、金属杆、集电板、箔片和刻度板组成，学生用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感应起电机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环境温度：5-30℃；相对湿度：小于80%；有起电盘、电梳、手摇转轮和转柄、电刷、莱顿瓶和底座等部分。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枕形导体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1、产品有导体、绝缘立柱、底座组成2、每套2个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小灯座</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由二用灯口，底部电极，连接片，接线柱和底板组成。底座不小于75mm×35mm×10mm工作电压不大于36V,工作电流不大于2.5A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单刀开关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由底座，接线柱，闸刀，刀座，刀承和绝缘手柄组成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滑动变阻器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1、产品由支架、滑竿、铜线、瓷管、滑头、接线柱等组成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2、产品规格：50Ω，1.5A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外形尺寸≥1060×150×40（mm）。2.金属导线有铜丝1根（1000mm±1mm）、铁丝1根（1000mm±1mm），镍铬丝3根（500mm±1mm1根，1000mm±1mm1根，2倍1000mm±1mm1根）。3.绕线应有带线槽绝缘小轮。要求：底板采用厚度不小于1mm的冷轧钢板制作，底板平整光洁，表面喷塑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不少于四根导线，长度、截面积、材料不同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工作环境条件:温度-10℃～40℃;相对湿度不大于90%RH(40℃).使用交流电源：98～242V，50Hz±0.5Hz。面板长不小于450mm，宽不小于300mm，正面有相应的实验电路图，电路图绘制应正确、清晰、不易脱落；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气压调节式及其改进型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1、产品为铁氧体条形磁铁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2、产品分红蓝两色，红色N级，蓝色S级铁氧体，180 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1、产品为铁氧体蹄形磁铁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2、产品分红蓝两色，红色N级，蓝色S级铁氧体，100mm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1、产品由铁粉盒和磁铁组成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2、铁粉盒为透明塑料制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产品由条形磁铁、蹄形磁铁、六片矩形透明磁感应板、月牙形透明磁感应板和固定支架组成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用条形磁铁、蹄形磁铁在透明台板的上面移动，金属针随着磁场变化，自动排列出磁感线的分布图，演示了周围磁感线的形成以及磁极在相吸或相斥不同情况下磁感线的形成。还可以演示电流磁场周围各个空间磁感线的形成。  外形尺寸为22cm*22cm*2cm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由直线电流，环形电流和通电螺线管磁场三部分组成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菱形小磁针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1、产品由磁针座和磁针组成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2、整体高度28mm；磁针呈菱形，长28mm,分红白两色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3、每套16个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翼形磁针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底座、立柱、垂直翼形针，2个为一对。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演示原付线圈由演示原线圈、演示付线圈、软铁芯三部分组成。外形尺寸：70xl06xll3mm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原副线圈</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由原线圈、付线圈、软铁蕊组成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由电磁系统和触电系统两部分组成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左右手定则演示器由底座、撑杆、接线板（棒）、方形线圈组成。线圈额定电流不超过2A。</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磁性转子，手摇轮盘，小灯泡发亮显示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阴极射线管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1、产品由底座和磁效应管组成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2、磁效应管由挡板和荧光板组成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塑料圆形底座，立杆 金属横杆上有开口环、闭口环</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使用高磁能积磁体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1、产品由线圈2件、U型铁芯1件、条形铁轭1件、极掌2件、压板螺钉2件、强阻尼摆1件、弱阻尼摆1件、摆架1件、示教板1件、感应线圈1件、铝环1件、小灯泡5只等组成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2、产品主要部件为金属制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电感式镇流器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阻尼振荡,等幅振荡,振荡频率与振荡电路的电容 、电感关系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光具盘</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磁吸附式  正三棱镜*2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潜望镜梯形玻璃砖等腰直角棱镜90°平面反射镜平面反射镜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小双凸透镜小双凹透镜凹凸透镜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大凹凸透镜凹凸透镜f=100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凹面镜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1、产品有凹面镜、支架及底座组成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凸面镜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1、产品有凸面镜、支架及底座组成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2、凸透镜直径10cm,底座直径7.5cm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3、产品高20cm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三棱镜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有三棱镜体、托架、支柱、底座各部分。带有底座</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有实验箱体、等边三棱镜、三棱镜架及光屏等部分。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有凸透镜、凹透镜、支架、底座组成。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起偏片、检偏片 直径6cm，高3.5cm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由紫外线光灯，日光灯，滤光片等组成，说明紫外线的一些特性及在各个领域中的应用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本仪器分红外线发现实验器、红外线性质说明器和红外线控制器三只仪器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灯长约10cm，直接2.5cm 利用他可对各种发光体的光谱进行分析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由面板控制器、指示器的作用D:光源 K:光电管 RP:电压调节旋钮V:电压表uA:电流表等组成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液压机模型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分带压力表和不带表两种类型</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由1火花塞2进气口3排气口4活塞5气缸6手摇飞轮7连杆8齿轮、凸轮总成9曲轴10接线柱等组成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柴油机模型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由1进气管2排气管3活塞4气缸5飞轮6齿轮总成7底座等组成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磁分子模型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外形为全透明塑料制的长方体，下底中总共安插24枚钢针，排列成4行，每行六枚。钢针上方安放24枚小磁针片，每一枚小磁针片都可以绕着钢针自由转动。 </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食盐，金刚石，石墨，明矾，石英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吹动式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蒸汽轮机模型演示冲动式蒸汽轮机工作原理及工作过程。利用气源（0.2bar-1bar）(此处可用嘴吹)通过蒸汽轮机模型任意一端吹入，冲击汽轮机的叶片，带动机轴一起转动。也可用手动。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轮机模型演示燃气轮机工作原理及工作过程。利用气源（0.2bar-1bar）(此处可用嘴吹)通过喷口吹入，冲击燃气轮机的叶轮片，带动叶轮转动或者手动演示。通过对叶轮片和透平作不同颜色处理，更便于对燃气轮机的理解。</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发电厂、升压变压器、高压输电线、降压变压器、用户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一般材料</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彩色透光片</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由红、绿、蓝三种颜色透光片组成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电珠(小灯泡)</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2.5V或3.8V</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滚珠盒</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自行车小滚珠200粒</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光敏电阻、74LS14、51kΩ可变电阻、发光二极管、330Ω电阻</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氖泡式</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φ3mm或φ6mm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水平尺</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白大褂，纯棉，耐酸碱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防强光，上部衰减10倍～20倍，下部透射比≥75％</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运动与力实验箱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实验器材：铁架台底座(X型组合底座，增加底座的稳定性)、立杆(Φ10*400mm，不锈钢内螺纹)、十字夹(带2个手拧螺丝M8*25mm)、通用夹(夹持调节范围2～75mm、夹持器在平面可调节角度大于180°，夹持部</w:t>
            </w:r>
            <w:r>
              <w:rPr>
                <w:rFonts w:hint="eastAsia" w:ascii="宋体" w:hAnsi="宋体" w:eastAsia="宋体" w:cs="宋体"/>
                <w:i w:val="0"/>
                <w:iCs w:val="0"/>
                <w:color w:val="auto"/>
                <w:sz w:val="21"/>
                <w:szCs w:val="21"/>
                <w:highlight w:val="none"/>
                <w:u w:val="none"/>
                <w:lang w:val="en-US" w:eastAsia="zh-CN" w:bidi="ar"/>
              </w:rPr>
              <w:t xml:space="preserve">位有软木防滑防压内衬，配合十字夹可多角度调节被夹持物)、电火花打点计时器(交流电220±22V，50±2.5Hz；含铅锤、台夹、纸带、复写纸)、牛顿摆(塑料底座，塑料支架+鱼线+实心铁球)、挡风板(厚度2mm)、刻度尺(量程30cm，分度值1mm)、支杆(Φ6*300mm)、钢球(实心不锈钢、直径13mm)、钢球(实心不锈钢、直径20mm)、螺丝刀(十字，带磁性，Φ5*75mm)、滑动件固定螺丝(M4，高度15mm)、M4蝶形螺母、M4螺母、M6螺母、固定块(孔径6.2mm)、固定块短(孔径4.2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练习使用打点计时器；2、用打点计时器测量运动物体的平均速度；3、探究小车速度随时间变化的规律；4、探究加速度与力、质量的关系；5、研究自由下落物体的机械能；6、惯性现象：用运动小车探究惯性下落运动；7、牛顿摆实验；8、研究斜槽末端小球碰撞时的动量守恒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多功能运动学轨道</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导轨(长度1500mm)、运动小车(1辆)、运动小车(蓝色、1辆)、双脚水平调节仪(铝合金)、单脚水平调节仪(铝合金)、光电门固定支架(铝合金、滑轮固定支架(铝合金)、滑轮(轮径67mm)、高头滚花调节脚钉(M6*30)、脚垫(D8*16mm)、紧固螺丝(M6*12mm)、方形螺母(M6)、水平调节仪、大滑动件(</w:t>
            </w:r>
            <w:r>
              <w:rPr>
                <w:rStyle w:val="980"/>
                <w:rFonts w:hint="eastAsia" w:ascii="宋体" w:hAnsi="宋体" w:eastAsia="宋体" w:cs="宋体"/>
                <w:color w:val="auto"/>
                <w:sz w:val="21"/>
                <w:szCs w:val="21"/>
                <w:highlight w:val="none"/>
                <w:lang w:val="en-US" w:eastAsia="zh-CN" w:bidi="ar"/>
              </w:rPr>
              <w:t xml:space="preserve">Φ</w:t>
            </w:r>
            <w:r>
              <w:rPr>
                <w:rStyle w:val="981"/>
                <w:rFonts w:hint="eastAsia" w:ascii="宋体" w:hAnsi="宋体" w:eastAsia="宋体" w:cs="宋体"/>
                <w:color w:val="auto"/>
                <w:sz w:val="21"/>
                <w:szCs w:val="21"/>
                <w:highlight w:val="none"/>
                <w:lang w:val="en-US" w:eastAsia="zh-CN" w:bidi="ar"/>
              </w:rPr>
              <w:t xml:space="preserve">9*50mm)、U型挡光片(间距20mm)、I型挡光片-1(挡光宽度20mm)、I型挡光片-2(挡光宽度40mm)、I型挡光片-3(挡光宽度60mm)、I型挡光片-4(挡光宽度80mm)、挡光片固定底座、5g钩码、5g增码、配重块、细线、木块、纸带固定装置、蝶形螺母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相互作用•力实验箱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不规则薄板（2种）、规则薄板(环形薄板、半圆形薄板、正三角形薄板、三角形薄板、梯形薄板、正方形薄板、长方形薄板、圆形薄板)、小球爬坡装置、圆锥体(Φ50mm，轴长55mm)、铝合金底座(长度200mm)、标尺杆、左标尺、右标尺、圆筒测力计(量程1N、分度值0.02N)、圆筒测力计(量程2.5N、分度值0.05N)、圆筒测力计(量程5N、分度</w:t>
            </w:r>
            <w:r>
              <w:rPr>
                <w:rFonts w:hint="eastAsia" w:ascii="宋体" w:hAnsi="宋体" w:eastAsia="宋体" w:cs="宋体"/>
                <w:i w:val="0"/>
                <w:iCs w:val="0"/>
                <w:color w:val="auto"/>
                <w:sz w:val="21"/>
                <w:szCs w:val="21"/>
                <w:highlight w:val="none"/>
                <w:u w:val="none"/>
                <w:lang w:val="en-US" w:eastAsia="zh-CN" w:bidi="ar"/>
              </w:rPr>
              <w:t xml:space="preserve">值0.1N)、摩擦力滑槽、摩擦板、摩擦块(带挂钩)、滑轮支架(带滑轮及螺丝)、测力计挂杆、钩码(50g*10)、螺旋弹簧组(0.5N/1N/2N/3N/5N)、激光器万向支架(84*95mm，内孔径16mm)、激光笔、槽码(50g)、力的合成分解实验板(一面为430光面金属板、一面为木板)、弹簧(Φ30mm，长度90mm)、立杆、立杆、重锤、测力计挂杆(、弹簧挂杆、平面镜、尺套件(15cm直尺、45度三角尺、60度三角尺、量角器)、配重定位杆、手柄卡件、橡皮筋、金属环(直径5mm)、柱卡扣(直径8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平面镜观察桌面的微小形变；2、探究弹簧弹力与形变量的关系；3、静摩擦力的大小随拉力的变化；4、用弹簧测力计探究作用力与反作用力的关系；5、探究互成角度的力的合成规律；6、探究薄板的重心；7、探究共点力的平衡条件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曲线运动实验箱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不锈钢内螺纹)、立杆(Φ10*412mm，不锈钢外螺纹)、液晶手写板(16寸)、不锈钢球(实心，直径25mm)、弧形轨道(30°圆弧，可连续拼接)、圆周运动速度方向演示器(外径230mm，高度57mm)、参照盘(直径180mm，柄直径10m</w:t>
            </w:r>
            <w:r>
              <w:rPr>
                <w:rFonts w:hint="eastAsia" w:ascii="宋体" w:hAnsi="宋体" w:eastAsia="宋体" w:cs="宋体"/>
                <w:i w:val="0"/>
                <w:iCs w:val="0"/>
                <w:color w:val="auto"/>
                <w:sz w:val="21"/>
                <w:szCs w:val="21"/>
                <w:highlight w:val="none"/>
                <w:u w:val="none"/>
                <w:lang w:val="en-US" w:eastAsia="zh-CN" w:bidi="ar"/>
              </w:rPr>
              <w:t xml:space="preserve">m高度40mm)、转轮(直径52mm，高度55mm)、平抛竖落仪(；含带孔钢球2个、重锤1个)、手摇离心转台、液体离心运动盘(直径120mm，厚度16mm，柄Φ4*56mm)、离心盘(直径160mm)、火箭发射台、注射器(30mL)、注射器(5mL)、条形磁铁(不低于100mT)、释放装置(底座130*40mm,高度85mm)、不锈钢球(空心，Φ24mm)、不锈钢球(空心，Φ20mm)、不锈钢球(实心，Φ15mm)、铁球(实心，Φ15mm)、不锈钢球(实心，Φ10mm)、PP球(实心，Φ10mm)、S钩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可做实验：1、观察做曲线运动物体的速度方向；2、观察钢球的运动轨迹；3、探究平抛运动竖直分运动的特点；4、探究离心运动：液面等。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静电场及其能量实验箱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静电底板、电子起电机(带开关、调谐旋钮、电表指示)、放电手柄、直杆、金属挂杆、电子风轮底座、电子风轮、枕形导体、枕形导体底座、点电荷、平行板、电容器充放电实验器(电容2200uF、50V)、橡胶棒(直径12mm，长度200mm)、玻璃棒(直径12mm，长度200mm)、毛皮、丝绸(真丝)、旋转主体(高度60mm)、旋转支架底座(直径70mm/高度58mm)、K4mm转K4mm香蕉插头导线、鳄鱼夹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可做实验：1、观察静电感应现象；2、模拟电场线；3、观察尖端放电现象；4、观察电容器的充、放电现象；5、摩擦起电等。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电路及其应用实验箱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实验器材：1号电池盒(可以串联和并联)、电压表(量程0-3V/15V)、电流表(模量程0-0.6A/3A)、单刀单掷开关(闸刀式)、单刀双掷开关(闸刀式)、灯泡座L(纯铜螺口E10)、灯泡座L1(纯铜螺口E10)、灯泡座L2(纯铜螺口E10)、电</w:t>
            </w:r>
            <w:r>
              <w:rPr>
                <w:rFonts w:hint="eastAsia" w:ascii="宋体" w:hAnsi="宋体" w:eastAsia="宋体" w:cs="宋体"/>
                <w:i w:val="0"/>
                <w:iCs w:val="0"/>
                <w:color w:val="auto"/>
                <w:sz w:val="21"/>
                <w:szCs w:val="21"/>
                <w:highlight w:val="none"/>
                <w:u w:val="none"/>
                <w:lang w:val="en-US" w:eastAsia="zh-CN" w:bidi="ar"/>
              </w:rPr>
              <w:t xml:space="preserve">阻R(金属膜电阻，5Ω/10Ω/15Ω，精度1%)、电阻Rx(金属膜电阻，Rx1=20Ω/Rx2=12Ω/Rx3=50Ω，精度1%)、二极管(稳压二极管Si)、直流电机(额定电压：DC5V)、电位器(0-47Ω)、滑动变阻器(20Ω、2A)、电学黑盒(含电阻、二极管、7号电池)、指针式多用电表(含红黑表笔)、简式电阻箱(0～9999Ω)、一字螺丝刀(Φ3*75mm)、钢卷尺(量程200cm、分度值1mm)、螺旋测微器(量程25mm、分度值0.01mm)、灯泡(1.5V0.3A)、灯泡(2.5V0.3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研究导体电阻与长度、横截面积及材料的定量关系；2、导体的伏安特性曲线；3、小灯泡的伏安特性曲线；4、长度的测量及测量工具的选用；5、金属丝电阻率的测量；6、练习使用多用电表；7、探究串联电路和并联电路中的电流；8、伏安法测电阻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电磁场•电磁波实验箱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直导线模型、环形线圈、螺线管(含7个圆形线圈)、电池盒(0-6V，带开关；线长20cm)、灵敏电流计(量程±30)、电流磁效应实验器(带换向开关)、单刀单掷开关(闸刀式)、滑动变阻器(20Ω、2A)、司南指南杓、司南方位盘(铁屑(50mL瓶装)、条形磁铁；不低于30mT)、方形线圈、条形磁铁(不低于100mT)、蹄形磁铁(宽55mm*高64mm；不低于60mT)、音叉槌、一字螺丝刀(Φ3*75mm)、毛刷、磁力小车、磁铁(Φ10mm，长度30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可做实验：1、司南与指南针；2、磁铁的相互作用；3、电流的磁效应(奥斯特实验)；4、探究通电直导线周围磁场的分布等。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机械振动•机械波实验箱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w:t>
            </w:r>
            <w:r>
              <w:rPr>
                <w:rFonts w:hint="eastAsia" w:ascii="宋体" w:hAnsi="宋体" w:eastAsia="宋体" w:cs="宋体"/>
                <w:i w:val="0"/>
                <w:iCs w:val="0"/>
                <w:color w:val="auto"/>
                <w:sz w:val="21"/>
                <w:szCs w:val="21"/>
                <w:highlight w:val="none"/>
                <w:u w:val="none"/>
                <w:lang w:val="en-US" w:eastAsia="zh-CN" w:bidi="ar"/>
              </w:rPr>
              <w:t xml:space="preserve">Φ10*412mm，不锈钢外螺纹)、立杆(Φ10*400mm，不锈钢内螺纹)、十字夹(发黑，带2个手拧螺丝M8*25mm)、通用夹(夹持调节范围2～75mm、夹持器在平面可调节角度大于180°，夹持部位有软木防滑防压内衬，配合十字夹可多角度调节被夹持物)、钢卷尺(量程200cm、分度值1mm)、游标卡尺(量程15cm、分度值0.02mm)、电子秒表(金属，最长计时24h，计时精度0.01s，)、单摆组(大钢球1个；小钢球2个；大塑球1个；小塑球1个)、线绳(尼龙，直径6mm，长度10米)、摆的共振演示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可做实验：1、测量小球振动的周期；2、观察两个小球的振动情况；3、影响单摆周期的因素；4、观察弹簧形成的波；5、演示共振现象等。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光及其应用实验箱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实验器材：光学平面板底座(金属底板</w:t>
            </w:r>
            <w:r>
              <w:rPr>
                <w:rFonts w:hint="eastAsia" w:ascii="宋体" w:hAnsi="宋体" w:eastAsia="宋体" w:cs="宋体"/>
                <w:i w:val="0"/>
                <w:iCs w:val="0"/>
                <w:color w:val="auto"/>
                <w:sz w:val="21"/>
                <w:szCs w:val="21"/>
                <w:highlight w:val="none"/>
                <w:u w:val="none"/>
                <w:lang w:val="en-US" w:eastAsia="zh-CN" w:bidi="ar"/>
              </w:rPr>
              <w:t xml:space="preserve">带磁铁)、光学平面板(金属、可折叠)、凹凸柱面镜(磁吸式)、平面镜(磁吸式)、线光源(红光)、线光源(绿光)、三线激光光源(红光，磁吸式)、电池盒(7号，磁吸式)、方形水盒(磁吸式)、磁吸式固定座、矩形玻璃砖(一面磨砂)、三棱镜(正三角形，边长约32mm，高度约102mm)、等腰直角柱透镜(直角边75mm，等腰直角)、半圆形柱透镜(直径100mm厚15mm)、金属圈(线圈直径40mm，全长约136mm)、激光物理光学实验器(点光源，带开关，滑槽可移动)、接收屏(带刻度)、单缝衍射片(缝宽：0.05/0.1/</w:t>
            </w:r>
            <w:r>
              <w:rPr>
                <w:rFonts w:hint="eastAsia" w:ascii="宋体" w:hAnsi="宋体" w:eastAsia="宋体" w:cs="宋体"/>
                <w:i w:val="0"/>
                <w:iCs w:val="0"/>
                <w:color w:val="auto"/>
                <w:sz w:val="21"/>
                <w:szCs w:val="21"/>
                <w:highlight w:val="none"/>
                <w:u w:val="none"/>
                <w:lang w:val="en-US" w:eastAsia="zh-CN" w:bidi="ar"/>
              </w:rPr>
              <w:t xml:space="preserve">0.2mm)、衍射光栅(0.22mm)、圆孔衍射片(孔径：0.1/1.0/1.5/2.0mm)、圆屏衍射片(直径：0.5/1.0/1.5/2.0mm)、方格衍射片(0.20/0.10/0.05mm)、量角器(半径60mm)、双缝干涉片(缝间距：0.25/0.3/0.45mm)、光纤条(固定板：50*50*2mm，D3*150mm)、光的三原色合成实验器(红绿蓝光三色可调)、刻度尺(量程20cm、分度值1mm)、钢卷尺(量程200cm、分度值1mm)、牛顿环(外径50mm，通光口26mm)、光的偏振观察器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光的反射定律；2、探究光的折射定律；3、测量玻璃的折射率；4、观察全反射现象；5、凸面镜与凹面镜的成像光路；6、光的色散；7、观察光在弯曲的有机玻璃棒中传播的路径；8、演示光的双缝干涉实验；9、用肥皂膜做薄膜干涉实验；10、牛顿环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安培力•洛伦兹力实验箱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池盒(0-3-6V，带开关)、演示电磁继电器(组合式)、左手定则演示器(模块136*92mm，组合式，带换向开关)、旋转液体演示器(含强磁铁、鳄鱼夹、2mm香蕉插头)、电铃(含2mm香蕉插头)、直流电机(模块80*80mm，额定电压：DC5V)、蹄形磁铁(宽55mm*高64mm；不低于60mT)、培养皿(直径60mm)、铅笔芯(2.00mm/HB，90mm*6根)、铜棒(Φ3*68mm)、砂纸、磁流体、阴极射线管(磁效应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可做实验：1、安培力的方向；2、观察电子束在磁场中的偏转；3、电铃的工作原理；4、神奇的磁流体等。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电磁感应•交流电实验箱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实验器材：可拆变压器(铁芯、初线圈、次线圈)、灵敏电流计(量程±30)、电磁驱动演示器(底座</w:t>
            </w:r>
            <w:r>
              <w:rPr>
                <w:rFonts w:hint="eastAsia" w:ascii="宋体" w:hAnsi="宋体" w:eastAsia="宋体" w:cs="宋体"/>
                <w:i w:val="0"/>
                <w:iCs w:val="0"/>
                <w:color w:val="auto"/>
                <w:sz w:val="21"/>
                <w:szCs w:val="21"/>
                <w:highlight w:val="none"/>
                <w:u w:val="none"/>
                <w:lang w:val="en-US" w:eastAsia="zh-CN" w:bidi="ar"/>
              </w:rPr>
              <w:t xml:space="preserve">)、阻尼摆(底座)、铜管(外径19mm/内径16mm/管长度250mm，紫铜)、铝管(外径19mm/内径16mm/管长度250mm，铝)、塑料管(外径19mm/内径16mm/管长度250mm，亚克力管)、楞次定律演示器(含底座、支柱、开口铝环、闭口铝环)、条形磁铁(不低于100mT)、原副线圈(原线圈、副线圈、铁芯)、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可做实验：1、楞次定律；2、电磁阻尼-磁环的下落；3、观察铝框的运动；4、磁场中的金属摆等。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传感器原理实验箱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实验器材：电学实验底板、直导线(模块40*40mm，插拔式)、直角导线(插拔式)、</w:t>
            </w:r>
            <w:r>
              <w:rPr>
                <w:rFonts w:hint="eastAsia" w:ascii="宋体" w:hAnsi="宋体" w:eastAsia="宋体" w:cs="宋体"/>
                <w:i w:val="0"/>
                <w:iCs w:val="0"/>
                <w:color w:val="auto"/>
                <w:sz w:val="21"/>
                <w:szCs w:val="21"/>
                <w:highlight w:val="none"/>
                <w:u w:val="none"/>
                <w:lang w:val="en-US" w:eastAsia="zh-CN" w:bidi="ar"/>
              </w:rPr>
              <w:t xml:space="preserve">T型导线(插拔式)、单孔插头(插拔式，插孔4mm，红)、单孔插头(插拔式，插孔4mm，黑)、单孔插头(插拔式，插孔4mm，绿)、单孔直角插头(插拔式，插孔4mm，红)、单孔直角插头(插拔式，插孔4mm，黑)、双孔插头(插拔式，插孔2mm，黑/红)、电阻(插拔式，金属膜电阻，100Ω)、电阻(插拔式，金属膜电阻，330Ω)、光敏电阻(插拔式，LDR)、热敏电阻(插拔式，NTC)、热敏电阻(插拔式，PTC)、晶体三极管(插拔式，S9014)、晶体三极管(模块40*40mm，插拔式，S8050)、灯泡座(插拔式，</w:t>
            </w:r>
            <w:r>
              <w:rPr>
                <w:rFonts w:hint="eastAsia" w:ascii="宋体" w:hAnsi="宋体" w:eastAsia="宋体" w:cs="宋体"/>
                <w:i w:val="0"/>
                <w:iCs w:val="0"/>
                <w:color w:val="auto"/>
                <w:sz w:val="21"/>
                <w:szCs w:val="21"/>
                <w:highlight w:val="none"/>
                <w:u w:val="none"/>
                <w:lang w:val="en-US" w:eastAsia="zh-CN" w:bidi="ar"/>
              </w:rPr>
              <w:t xml:space="preserve">E10螺口灯座)、电位器(插拔式，0～100KΩ)、单刀单掷开关(插拔式)、直流电机(插拔式，DC5V)、电磁继电器(插拔式)、74LS14集成电路模块(插拔式，74LS14)、热敏电阻PTC、热敏电阻NTC、数字式多用电表；旋钮式开关，位于表中央；三位半数字液晶显示，12mm字高；含“COM”端、“VΩmA”端、“10A”端；测量直流电压、直流电流、交流电压、电阻、三极管hFE、二极管和蜂鸣)、电池盒(0-6V，带开关；线长20cm)、激光笔、圆柱形磁铁(φ10*35mm)、灯泡(6.0V，0.5A)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干簧管的特性；2、观察光敏电阻的特性；3、观察热敏电阻的特性；4、制作简单的自动控制装置：门窗防盗报警装置；5、制作简单的自动控制装置：光控开关；6、制作简单的自动控制装置：温度报警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分子动理论实验箱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油膜实验器(含痱子粉、油酸、1mL塑料注射器)、烧杯(玻璃，250mL)、量筒(玻璃，25mL)、长颈漏斗(口径50mm，管长140mm)、内聚力演示器(含扳动杆和刮削器)、伽尔顿板演示器、漏斗(外径约39mm)、钢珠(50ml塑料瓶，φ2mm)、培养皿(玻璃；直径100mm)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可做实验：1、观察液体混合后体积的变化；2、气体的扩散实验；3、液体的扩散实验；4、探究影响扩散速度的主要因素等。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固体•液体•气体实验箱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实验器材：铁架台底座(X型组合底座，增加底座的稳定性)、立杆(φ10*400mm，银白色，不锈钢内螺纹)、立杆(φ10*412mm，银白色，不锈钢外螺纹)、立杆(φ10*250mm，银白色</w:t>
            </w:r>
            <w:r>
              <w:rPr>
                <w:rFonts w:hint="eastAsia" w:ascii="宋体" w:hAnsi="宋体" w:eastAsia="宋体" w:cs="宋体"/>
                <w:i w:val="0"/>
                <w:iCs w:val="0"/>
                <w:color w:val="auto"/>
                <w:sz w:val="21"/>
                <w:szCs w:val="21"/>
                <w:highlight w:val="none"/>
                <w:u w:val="none"/>
                <w:lang w:val="en-US" w:eastAsia="zh-CN" w:bidi="ar"/>
              </w:rPr>
              <w:t xml:space="preserve">，不锈钢内螺纹)、立杆(φ10*262mm，银白色，不锈钢外螺纹)、十字夹(55*30*30mm，发黑，带2个手拧螺丝M8*25mm)、通用夹(夹持调节范围2～75mm、夹持器在平面可调节角度大于180°，夹持部位有软木防滑防压内衬，配合十字夹可多角度调节被夹持物)、铁环(环径130mm)、铁环(环径50mm)、酒精灯(玻璃，150mL)、石棉网(150*150mm)、烧杯(玻璃，800mL)、注射器(100ml，螺口)、温度计(-20℃～110℃，带挂孔)、毛细现象实验器(含五种不同规格的毛细玻璃管)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可做实验：1、探究气体等温变化的规律；2、探究气体等容变化的规律；3、观察玻璃和云母片上石蜡熔化区域的形状；4、“浮”在水面上的硬币等。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热力学定律实验箱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铁架台底座(X型组合底座，增加底座的稳定性)、立杆(φ10*300mm，银白色，不锈钢内螺纹)、十字夹(发黑，带2个手拧螺丝M8*25mm)、通用夹(夹持调节范围2～75mm、夹持器在平面可调节角度大于180°，夹持部位有软木防滑防压内衬，配合十字夹可多角度调节被夹持物)、烧杯(玻璃，250mL)、空气压缩引火仪(底座直径66mm，主体高度158mm；含凡士林、备用圈、脱脂棉)、热传导观察装置(含铜片、铝片、锌片、锌铜合金、铁片)、饮水鸟、两用气筒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可做实验：1、通过做功改变物体的内能；2、观察橡胶塞跳出时瓶内的变化；3、探究饮水鸟的奥秘等。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太阳能实验板(器材放置区；含两个15mm太阳能装置定位孔；一个9mm光源定位孔)、太阳能装置(主体含旋钮式开关，可控制光源亮度；四块独立太阳能电池板，电池板装置角度可旋转调节，含2mm香蕉插头)、光源(总长400mm，线长不低于260mm，含12V50W热光源)、挡光板1(可遮</w:t>
            </w:r>
            <w:r>
              <w:rPr>
                <w:rFonts w:hint="eastAsia" w:ascii="宋体" w:hAnsi="宋体" w:eastAsia="宋体" w:cs="宋体"/>
                <w:i w:val="0"/>
                <w:iCs w:val="0"/>
                <w:color w:val="auto"/>
                <w:sz w:val="21"/>
                <w:szCs w:val="21"/>
                <w:highlight w:val="none"/>
                <w:u w:val="none"/>
                <w:lang w:val="en-US" w:eastAsia="zh-CN" w:bidi="ar"/>
              </w:rPr>
              <w:t xml:space="preserve">挡1/4长度单片太阳能电池)、挡光板2(可遮挡1/2长度单片太阳能电池)、挡光板3(可遮挡全部单片太阳能电池，)、负载模块(电动机2.0V/30mA，电灯泡1.5V/30mA；2mm香蕉插头)、负载模块(电阻器0～100Ω，十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用太阳能电池发电带动用电器工作的实验；2、探究在不同阴影下太阳能电池的电压实验；3、学会测量不同照度下的太阳能电池的电压和电流实验；4、探究由于光源入射角的不同太阳能电池产生的电压实验；5、探究太阳能电池的串联和并联实验；6、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实验器材：风能实验板(风力发电机定位柱)、风机，含带刻度调谐旋钮、DC电源插口母座5.5*2.1mm；鼓风机 DC12V 1.8A 22.0W)、风罩(带强磁铁，含扇叶定位角度)、风力发电机(含2mm香蕉插头；轮毂上含六个扇</w:t>
            </w:r>
            <w:r>
              <w:rPr>
                <w:rFonts w:hint="eastAsia" w:ascii="宋体" w:hAnsi="宋体" w:eastAsia="宋体" w:cs="宋体"/>
                <w:i w:val="0"/>
                <w:iCs w:val="0"/>
                <w:color w:val="auto"/>
                <w:sz w:val="21"/>
                <w:szCs w:val="21"/>
                <w:highlight w:val="none"/>
                <w:u w:val="none"/>
                <w:lang w:val="en-US" w:eastAsia="zh-CN" w:bidi="ar"/>
              </w:rPr>
              <w:t xml:space="preserve">叶定位孔，扇叶可成90°/120°/180°排列，可用M4*5mm内六角紧定螺丝固定)、直扇叶、弯扇叶(有弧度)、负载模块(电动机2.0V/30mA，电灯泡1.5V/30mA；2mm香蕉插头)、负载模块(电阻器0～100Ω，单圈；2mm香蕉插头)、储能模块(充电电池1.2V 6.5mAh；金电容最大2.7V 10F)、数字式多用电表(旋钮式开关，位于表中央；三位半数字液晶显示，12mm字高；含“COM”端、“VΩmA”端、“10A”端；测量直流电压、直流电流、交流电压、电阻、三极管hFE、二极管和蜂鸣)等。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可做实验：1、探究由于旋翼类型不同决定风力发电机的电压问题；2、探究由于风力位置/角度的不同决定的风力发电机的电压问题；3、探究充电电池或电容对用电器的放电实验等。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氢能探究实验箱</w:t>
            </w:r>
            <w:r/>
          </w:p>
        </w:tc>
        <w:tc>
          <w:tcPr>
            <w:tcBorders>
              <w:top w:val="single" w:color="000000" w:sz="4" w:space="0"/>
              <w:left w:val="single" w:color="000000" w:sz="4" w:space="0"/>
              <w:bottom w:val="single" w:color="000000" w:sz="4" w:space="0"/>
              <w:right w:val="single" w:color="000000" w:sz="4" w:space="0"/>
            </w:tcBorders>
            <w:tcW w:w="637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蓝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实验器材：氢能实验板、燃料电池(发电性能：≥0.3A 0.6V)、电解电池(7，电解电压：1.8V～2.2V，电流：≥0.3A)、可再生电池(电解电压：1.8V～2.2V，发电性能：≥0.3A 0.6V，电流：≥0</w:t>
            </w:r>
            <w:r>
              <w:rPr>
                <w:rFonts w:hint="eastAsia" w:ascii="宋体" w:hAnsi="宋体" w:eastAsia="宋体" w:cs="宋体"/>
                <w:i w:val="0"/>
                <w:iCs w:val="0"/>
                <w:color w:val="auto"/>
                <w:sz w:val="21"/>
                <w:szCs w:val="21"/>
                <w:highlight w:val="none"/>
                <w:u w:val="none"/>
                <w:lang w:val="en-US" w:eastAsia="zh-CN" w:bidi="ar"/>
              </w:rPr>
              <w:t xml:space="preserve">.3A)、燃料电池底座、集气筒底座、氢能小车车身(车底含万向轮，车身带两个LED灯，可放置氢集气筒和氧集气筒及可再生电池)、氢集气筒、氧集气筒、负载模块(电动机2.0V/30mA，电灯泡1.5V/30mA；2mm香蕉插头)、负载模块(；电阻器0～100Ω，单圈；2mm香蕉插头)、调压器(电压单圈调节；2mm香蕉插头)、数字式多用电表(旋钮式开关，位于表中央；三位半数字液晶显示，12mm字高；含“COM”端、“VΩmA”端、“10A”端；测量直流电压、直流电流、交流电压、电阻、三极管hFE、二极管和蜂鸣)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可做实验：1、探究测量产生气体的体积比实验；2、氢能发电驱动带LED灯的小车运动等。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化学实验仪器</w:t>
      </w:r>
      <w:r/>
    </w:p>
    <w:tbl>
      <w:tblPr>
        <w:tblStyle w:val="741"/>
        <w:tblW w:w="10031" w:type="dxa"/>
        <w:tblInd w:w="-3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4"/>
        <w:gridCol w:w="5685"/>
        <w:gridCol w:w="653"/>
        <w:gridCol w:w="697"/>
        <w:gridCol w:w="662"/>
      </w:tblGrid>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酒精喷灯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1、产品由壶体、预热杯、喷火管、火苗调节杆等组成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2、产品整体为铜制</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可固定试管、试剂瓶等仪器，底部有抽屉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方座支架附烧瓶夹一只，大小铁环各一只，垂直夹二只，平行夹一只。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泥三角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1、产品为陶制泥三角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2、三个空心陶泥管用铅丝连接成三角形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1、产品为棒式水银温度计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2、测量范围：0℃～200℃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数字测温计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-50℃～+150℃</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密度＜1 g/cm</w:t>
            </w:r>
            <w:r>
              <w:rPr>
                <w:rFonts w:hint="eastAsia" w:ascii="宋体" w:hAnsi="宋体" w:eastAsia="宋体" w:cs="宋体"/>
                <w:i w:val="0"/>
                <w:iCs w:val="0"/>
                <w:color w:val="auto"/>
                <w:sz w:val="21"/>
                <w:szCs w:val="21"/>
                <w:highlight w:val="none"/>
                <w:u w:val="none"/>
                <w:vertAlign w:val="superscript"/>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本仪器由：塑料槽一个、铜电极一个、锌电极一个。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贮气装置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室设备，用于收集、贮存气体。由底座、手柄、支架、气球嘴、锁紧螺母、贮气球、气嘴、气嘴阀门、气胆阀门、手压球各部分组成。气球嘴、气嘴应紧固、牢靠,在使用中不得产生松动现象。气嘴阀门、气胆阀门的耐磨性能好，气密性良好。</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适用于化学教学中电解质溶液实验(发光二极管显示)。由盛装电解质溶液的缸体、碳棒电板及演示屏等构成。演示屏上有电源连线柱，并有显示电解质导电强弱的指示装置。同时演示的电解质品种不少于五种。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金属电极，笔式，所需溶液不超过3mL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二氧化氮球</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双球，内封NO</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和N</w:t>
            </w:r>
            <w:r>
              <w:rPr>
                <w:rFonts w:hint="eastAsia" w:ascii="宋体" w:hAnsi="宋体" w:eastAsia="宋体" w:cs="宋体"/>
                <w:i w:val="0"/>
                <w:iCs w:val="0"/>
                <w:color w:val="auto"/>
                <w:sz w:val="21"/>
                <w:szCs w:val="21"/>
                <w:highlight w:val="none"/>
                <w:u w:val="none"/>
                <w:vertAlign w:val="sub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O</w:t>
            </w:r>
            <w:r>
              <w:rPr>
                <w:rFonts w:hint="eastAsia" w:ascii="宋体" w:hAnsi="宋体" w:eastAsia="宋体" w:cs="宋体"/>
                <w:i w:val="0"/>
                <w:iCs w:val="0"/>
                <w:color w:val="auto"/>
                <w:sz w:val="21"/>
                <w:szCs w:val="21"/>
                <w:highlight w:val="none"/>
                <w:u w:val="none"/>
                <w:vertAlign w:val="subscript"/>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分子扩散实验仪</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通过颜色变化展示气体扩散过程，具有良好的视觉效果。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实验管为塑料材质（P.S），可防止实验事故的发生。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实验管背景色为黑色，易于进行观察。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很短的时间就可以观察到实验结果。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分子扩散实验仪，1ml注射器（2个），试剂（自备，2个，盐酸，氨水）。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电解套件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本实验装置可以进行多种电解实验：电解水、氢氧混合爆炸（氢气火箭）、电解CuCl2溶液、电解KI和酚酞混合溶液、电解NaOH、氢燃料电池原理等。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1、利用9V电池作为电源进行电解，电解方式更加方便，安全。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2、反应容器小巧，试剂使用量少，气体收集时间短，可以定量收集生成的气体，并可直接用于其它实验。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3、使用铂（Pt）电极，产生的H2和O2体积比2:1.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4、使用碳电极电解，产生的H2和O2可形成燃料电池。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5、试剂配备齐全。</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5685" w:type="dxa"/>
            <w:vAlign w:val="bottom"/>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由连接棒跟连接球组成，连接球不少于30个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碳-60结构模型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球直径不小于25mm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球直径不小于30mm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S、SP、SP</w:t>
            </w:r>
            <w:r>
              <w:rPr>
                <w:rFonts w:hint="eastAsia" w:ascii="宋体" w:hAnsi="宋体" w:eastAsia="宋体" w:cs="宋体"/>
                <w:i w:val="0"/>
                <w:iCs w:val="0"/>
                <w:color w:val="auto"/>
                <w:sz w:val="21"/>
                <w:szCs w:val="21"/>
                <w:highlight w:val="none"/>
                <w:u w:val="none"/>
                <w:vertAlign w:val="superscript"/>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、SP</w:t>
            </w:r>
            <w:r>
              <w:rPr>
                <w:rFonts w:hint="eastAsia" w:ascii="宋体" w:hAnsi="宋体" w:eastAsia="宋体" w:cs="宋体"/>
                <w:i w:val="0"/>
                <w:iCs w:val="0"/>
                <w:color w:val="auto"/>
                <w:sz w:val="21"/>
                <w:szCs w:val="21"/>
                <w:highlight w:val="none"/>
                <w:u w:val="none"/>
                <w:vertAlign w:val="superscript"/>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、Px、Py、Pz</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模型采用拆装式，由1气体摩尔体积正方体组成厚度为2mm的透明有机玻璃构成，再用专门设计的透明塑料角联结。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化学教学模型，供化学讲解沸腾焙烧过程用，模型整体采用玻璃钢材质。结构：由外筒,炉膛,进出气口等组成。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化学教学模型，供化学讲解硫酸接触过程用。玻璃钢材质，由气体进气口,热交接器,架板,花板组成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5685" w:type="dxa"/>
            <w:vAlign w:val="top"/>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化学教学模型，供化学讲解氨合成过程用。玻璃钢材质，外筒.内件和电加热器组成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由炉喉、炉身、炉腹、炉缸等5部分组成</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不少于8种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不少于5种</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1、产品玻璃量杯和塑料底座组成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2、产品规格：酸式，25mL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1、产品为玻璃制滴定管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2、产品规格：碱式，25mL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2、产品规格：φ18mm×180mm，支管直径7-8mm,长度不小于18mm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具支试管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2、产品规格：φ20mm×200mm，支管直径7-8mm,长度不小于18mm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3、壁厚不低于1mm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φ25mm×300mm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Y形试管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φ20mm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平底，长颈，250mL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锥形瓶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蒸馏烧瓶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三口烧瓶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2、产品容量为250ml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冷凝器</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直形，300mm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牛角管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1、产品为玻璃制牛角管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2、产品规格：弯形，φ18mm×150mm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2、产品规格：锥形，100mL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分液漏斗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1、产品为玻璃制分液漏斗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2、产品规格：球形，50mL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Y形管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活塞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集气瓶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2、产品容量：1000mL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2、产品规格：棕色125mL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2、产品规格：棕色250mL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细口瓶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2、产品规格：棕色500mL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称量瓶</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1、产品为高硼硅玻璃制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2、产品容量φ25mm×40mm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1、产品由坩埚和盖子组成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2、产品为瓷制，坩埚容量30ml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坩埚钳</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2、钳子光滑、平整、无缺陷。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3、钳子的夹持端为弯头，端头有齿纹，便于夹住物体吻合一致。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1、产品由直径5mm圆钢制造，总长度≥260mm。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2、产品光滑、平整、无缺陷。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材质：不锈钢。具有弹性不易变形。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水止皮管夹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产品为金属制，弹簧式，表面镀锌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螺旋皮管夹</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产品为金属制，螺旋式，表面镀锌</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隔热网</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铜勺</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每组大中小三只</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φ7mm～φ8mm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φ3mm～φ4mm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软胶塞</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0号～12号</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spacing w:line="240" w:lineRule="auto"/>
              <w:widowControl/>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天然橡胶制，内径为7～8mm，壁厚1mm，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乳胶管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天然乳胶，医用标准</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滴定管刷</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铁线、猪鬃绳</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1、产品为玻璃制，呈曲面状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2、产品直径60mm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研钵</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1、产品由研钵和杵组成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2、产品为瓷制，上口直径不低于60mm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蒸发皿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1、产品为带嘴陶瓷蒸发皿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2、直径不小于60mm，厚度不小于2mm</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反应板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1、产品为瓷制反应板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2、产品上有六个穴</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井穴板</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9孔，0.7mL×9</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4mL</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白金丝</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φ0.5mm×50mm；可拆卸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份</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护目镜</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防护面罩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防毒口罩</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有活性炭</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耐酸</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28、急救手册29、急救知识光盘30、外包　31、配置清单</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实验防护屏</w:t>
            </w:r>
            <w:r/>
          </w:p>
        </w:tc>
        <w:tc>
          <w:tcPr>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透明有机材料，带有底座，三面</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元素及其化合物实验箱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表面皿、泥三角、坩埚、酒精灯、250mL烧杯、100mL烧杯、胶头滴管、试管（小）、玻璃棒、药匙、红液温度计、试管夹、试管（大）、120°弯管、长直角玻璃管、口部具支试管、短直角玻璃管、止水皮管夹、玻璃导管、圆底烧瓶、10mL量筒、石棉网、漏斗、蒸发皿、坩埚钳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观察钠；2、钠在空气中加热；3、钠与水的反应；4、过氧化钠与水的反应；5、观察碳酸钠和碳酸氢钠；6、加热碳酸钠和碳酸氢钠；7、氢气在氯气中燃烧；8、探究次氯酸的漂白性；9、氯离子的检验；10、探究氢氧化铁和氢氧化亚铁的性质；11、铁离子的检验；12、铁离子与亚铁离子之间的相互转化；13、利用覆铜板制作图案；14、检验食品中的铁元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有机化学实验箱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酒精灯、250mL烧杯、100mL烧杯、50mL烧杯、120°弯管、短直角玻璃管、长直角玻璃管、胶头滴管、石棉网、药匙、试管夹、坩埚钳、10mL量筒、镊子、漏斗、玻璃棒、球型分液漏斗、圆底烧瓶、口部具支试管、红液温度计、研钵、秒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可做实验：1、甲烷与氯</w:t>
            </w:r>
            <w:r>
              <w:rPr>
                <w:rFonts w:hint="eastAsia" w:ascii="宋体" w:hAnsi="宋体" w:eastAsia="宋体" w:cs="宋体"/>
                <w:i w:val="0"/>
                <w:iCs w:val="0"/>
                <w:color w:val="auto"/>
                <w:sz w:val="21"/>
                <w:szCs w:val="21"/>
                <w:highlight w:val="none"/>
                <w:u w:val="none"/>
                <w:lang w:val="en-US" w:eastAsia="zh-CN" w:bidi="ar"/>
              </w:rPr>
              <w:t xml:space="preserve">气的反应；2、探究乙烯的化学性质；3、乙烯与溴的加成反应；4、烃的分子结构；5、乙醇与钠的反应；6、乙醇的催化氧化；7、酯化反应；8、葡萄糖的化学性质；9、淀粉与碘的反应；10、蛋白质的化学性质；11、搭建球棍模型认识有机化合物分子结构的特点；12、乙醇、乙酸的主要性质；13、比较钠与水和钠与乙醇的反应；14、重结晶法提纯苯甲酸；15、乙炔的化学性质；16、观察苯是否能与酸性高锰酸钾溶液和溴水反应；17、观察甲苯是否能与酸性高锰酸钾溶液和溴水反应；18、苯酚和甲醛的缩聚反应；19、高吸水性树脂的吸水性能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化学反应原理实验箱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胶头滴管、玻璃棒、50mL烧杯、100mL烧杯、250mL烧杯、试管夹、10mL量筒、秒表、球型分液漏斗、锥形瓶、长直角玻璃管、短直角玻璃管、圆底烧瓶、止水皮管夹、酒精灯、表面皿、石棉网、U形管、口部具支试管、培养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探究盐酸与镁反应前后溶液的温度变化；2、探究八水合氢氧化钡晶体与氯化铵晶体反应前后固体的温度变化；3、原电池实验；4、简易电池的设计与制作；5、影响化学反应速率的因素；6、化学能转化成电能；7、化学反应速率的影响因素；8、中和反应反应热的测定；9、定性与定量研究影响化学反应速率的因素；10、探究浓度对化学平衡的影响；11、盐类水解的应用；12、简单的电镀实验；13、制作简单的燃料电池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物质及其变化实验箱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实验器材：50mL烧杯、100mL烧杯、250mL烧杯、50mL量筒、10mL量筒、酒精灯、白色点滴板、玻璃棒、药匙、泥三角、镊子、试管夹、研钵、蒸发皿、坩埚等。耗材自备。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可做实验：1、区分溶液和胶体；2、试验物质的导电性；3、离子反应；4、配制100mL 1.00mol/L NaCl溶液；5、配制一定物质的量浓度的溶液；6、碱金属化学性质的比较；7、卤素单质间的置换反应；8、探究晶体的性质；9、明矾晶体的制备；10、探究二氨合银离子的性质等。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通用工具实验箱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after="180" w:afterAutospacing="0"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实验器材：电子天平、升降台、试管架、铁架台底座、铁架台支杆、通用夹、铁三环等。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创新仪器套装实验箱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w:t>
            </w:r>
            <w:r>
              <w:rPr>
                <w:rStyle w:val="982"/>
                <w:rFonts w:hint="eastAsia" w:ascii="宋体" w:hAnsi="宋体" w:eastAsia="宋体" w:cs="宋体"/>
                <w:color w:val="auto"/>
                <w:sz w:val="21"/>
                <w:szCs w:val="21"/>
                <w:highlight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w:t>
            </w:r>
            <w:r>
              <w:rPr>
                <w:rStyle w:val="982"/>
                <w:rFonts w:hint="eastAsia" w:ascii="宋体" w:hAnsi="宋体" w:eastAsia="宋体" w:cs="宋体"/>
                <w:color w:val="auto"/>
                <w:sz w:val="21"/>
                <w:szCs w:val="21"/>
                <w:highlight w:val="none"/>
                <w:lang w:val="en-US" w:eastAsia="zh-CN" w:bidi="ar"/>
              </w:rPr>
              <w:t xml:space="preserve">≥485*370*155mm</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w:t>
            </w:r>
            <w:r>
              <w:rPr>
                <w:rStyle w:val="982"/>
                <w:rFonts w:hint="eastAsia" w:ascii="宋体" w:hAnsi="宋体" w:eastAsia="宋体" w:cs="宋体"/>
                <w:color w:val="auto"/>
                <w:sz w:val="21"/>
                <w:szCs w:val="21"/>
                <w:highlight w:val="none"/>
                <w:lang w:val="en-US" w:eastAsia="zh-CN" w:bidi="ar"/>
              </w:rPr>
              <w:t xml:space="preserve">0.5mm</w:t>
            </w:r>
            <w:r>
              <w:rPr>
                <w:rFonts w:hint="eastAsia" w:ascii="宋体" w:hAnsi="宋体" w:eastAsia="宋体" w:cs="宋体"/>
                <w:i w:val="0"/>
                <w:iCs w:val="0"/>
                <w:color w:val="auto"/>
                <w:sz w:val="21"/>
                <w:szCs w:val="21"/>
                <w:highlight w:val="none"/>
                <w:u w:val="none"/>
                <w:lang w:val="en-US" w:eastAsia="zh-CN" w:bidi="ar"/>
              </w:rPr>
              <w:t xml:space="preserve">厚的</w:t>
            </w:r>
            <w:r>
              <w:rPr>
                <w:rStyle w:val="982"/>
                <w:rFonts w:hint="eastAsia" w:ascii="宋体" w:hAnsi="宋体" w:eastAsia="宋体" w:cs="宋体"/>
                <w:color w:val="auto"/>
                <w:sz w:val="21"/>
                <w:szCs w:val="21"/>
                <w:highlight w:val="none"/>
                <w:lang w:val="en-US" w:eastAsia="zh-CN" w:bidi="ar"/>
              </w:rPr>
              <w:t xml:space="preserve">PVC</w:t>
            </w:r>
            <w:r>
              <w:rPr>
                <w:rFonts w:hint="eastAsia" w:ascii="宋体" w:hAnsi="宋体" w:eastAsia="宋体" w:cs="宋体"/>
                <w:i w:val="0"/>
                <w:iCs w:val="0"/>
                <w:color w:val="auto"/>
                <w:sz w:val="21"/>
                <w:szCs w:val="21"/>
                <w:highlight w:val="none"/>
                <w:u w:val="none"/>
                <w:lang w:val="en-US" w:eastAsia="zh-CN" w:bidi="ar"/>
              </w:rPr>
              <w:t xml:space="preserve">背胶板印刷全套（</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张）铭牌，不起皱，不脱落。</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实验器材：离子扩散演示仪、新型启普发生器、不同种类的注射器、透明延长管、燃烧管、双联接头、燃料电池装置、音乐片、</w:t>
            </w:r>
            <w:r>
              <w:rPr>
                <w:rStyle w:val="982"/>
                <w:rFonts w:hint="eastAsia" w:ascii="宋体" w:hAnsi="宋体" w:eastAsia="宋体" w:cs="宋体"/>
                <w:color w:val="auto"/>
                <w:sz w:val="21"/>
                <w:szCs w:val="21"/>
                <w:highlight w:val="none"/>
                <w:lang w:val="en-US" w:eastAsia="zh-CN" w:bidi="ar"/>
              </w:rPr>
              <w:t xml:space="preserve">9V</w:t>
            </w:r>
            <w:r>
              <w:rPr>
                <w:rFonts w:hint="eastAsia" w:ascii="宋体" w:hAnsi="宋体" w:eastAsia="宋体" w:cs="宋体"/>
                <w:i w:val="0"/>
                <w:iCs w:val="0"/>
                <w:color w:val="auto"/>
                <w:sz w:val="21"/>
                <w:szCs w:val="21"/>
                <w:highlight w:val="none"/>
                <w:u w:val="none"/>
                <w:lang w:val="en-US" w:eastAsia="zh-CN" w:bidi="ar"/>
              </w:rPr>
              <w:t xml:space="preserve">电池、不同种类的电池扣、碳芯等。</w:t>
            </w:r>
            <w:r>
              <w:rPr>
                <w:rStyle w:val="982"/>
                <w:rFonts w:hint="eastAsia" w:ascii="宋体" w:hAnsi="宋体" w:eastAsia="宋体" w:cs="宋体"/>
                <w:color w:val="auto"/>
                <w:sz w:val="21"/>
                <w:szCs w:val="21"/>
                <w:highlight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w:t>
            </w:r>
            <w:r>
              <w:rPr>
                <w:rStyle w:val="982"/>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利用新型启普发生器制备氧气、氢气、二氧化碳；</w:t>
            </w:r>
            <w:r>
              <w:rPr>
                <w:rStyle w:val="982"/>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观察离子扩散；</w:t>
            </w:r>
            <w:r>
              <w:rPr>
                <w:rStyle w:val="982"/>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观察生成沉淀的离子反应；</w:t>
            </w:r>
            <w:r>
              <w:rPr>
                <w:rStyle w:val="982"/>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、实验</w:t>
            </w:r>
            <w:r>
              <w:rPr>
                <w:rStyle w:val="982"/>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电解水、氯化铜溶液及滴加酚酞后的碘化钾溶液等。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化工生产实验箱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大）、短直角玻璃管、长直角玻璃管、酒精灯、广口瓶、玻璃导管、试管、硬质玻璃管、药匙、胶头滴管、U形管、250mL烧杯、玻璃棒、250mL锥形瓶、100mL锥形瓶、球型分液漏斗、φ60mm漏斗、表面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实验室模拟工业合成氨；2、实验 实验室模拟工业制硫酸（接触法）；3、实验 实验室模拟工业制硝酸（氨氧化法）等。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健康医药实验箱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实验器材：药匙、10mL量筒、漏斗、50mL烧杯、100mL烧杯、250mL烧杯、50mL量筒、玻璃棒、容量瓶、石棉网、酒精灯、比色管等。耗材自备。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测定加碘食盐中的碘元素；2、实验 对不同水果中维生素C含量进行比较；3、实验 食醋中总酸量的测定；4、实验 制作护肤品等。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环境保护实验箱</w:t>
            </w:r>
            <w:r/>
          </w:p>
        </w:tc>
        <w:tc>
          <w:tcPr>
            <w:tcBorders>
              <w:top w:val="single" w:color="000000" w:sz="4" w:space="0"/>
              <w:left w:val="none" w:color="000000" w:sz="4" w:space="0"/>
              <w:bottom w:val="single" w:color="000000" w:sz="4" w:space="0"/>
              <w:right w:val="single" w:color="000000" w:sz="4" w:space="0"/>
            </w:tcBorders>
            <w:tcW w:w="568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结合各大版本高中化学课程教材，满足高中化学的课程实验。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实验器材：单标移液管、洗耳球、10mL量筒、酒精灯、石棉网、坩埚钳、红液温度计、100mL烧杯、250mL烧杯、50mL量筒、药匙、玻璃棒、漏斗、蒸发皿等。耗材自备。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利用废铜屑制备硫酸铜的实验方法改良等。</w:t>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生物实验仪器 </w:t>
      </w:r>
      <w:r>
        <w:rPr>
          <w:rFonts w:hint="eastAsia" w:ascii="宋体" w:hAnsi="宋体" w:eastAsia="宋体" w:cs="宋体"/>
          <w:color w:val="auto"/>
          <w:sz w:val="21"/>
          <w:szCs w:val="21"/>
          <w:highlight w:val="none"/>
        </w:rPr>
        <w:t xml:space="preserve"> </w:t>
      </w:r>
      <w:r/>
    </w:p>
    <w:tbl>
      <w:tblPr>
        <w:tblStyle w:val="741"/>
        <w:tblW w:w="10070" w:type="dxa"/>
        <w:tblInd w:w="-3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992"/>
        <w:gridCol w:w="6306"/>
        <w:gridCol w:w="638"/>
        <w:gridCol w:w="694"/>
        <w:gridCol w:w="665"/>
      </w:tblGrid>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单目生物电光源显微镜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1、目镜：大视野广角WF16X13mm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2、物镜：4X、10X、40X（弹簧）消色差物镜，4X物镜清晰圆直径≥7.5mm，10X物镜清晰圆直径≥7.4mm、景深范围内像面的偏摆≤0.06mm，40X物镜清晰圆直径≥6.8mm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3、镜筒：单目观察筒，45度倾斜，360度旋转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5、载物台：金属平台，平台面积110X120mm，载物台侧向受5N水平方向作用力最大位移≤0.02mm，不重复性≤0.003mm。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6、聚光镜：单片聚光镜，数值孔径N.A0.65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7、光源：LED高亮度光源，带充电功能，亮度可调，可与反光镜互换。</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数码液晶显微镜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观察头：铰链式三目观察筒，瞳距调节范围50-75mm。零视度时，左右系统的目镜端面位置差≤0.08mm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3、摄像系统：10.5英寸高清全贴和触摸屏，Android11系统，1600万以上像素；2.4GHz/5GHz双频WIFI 支持WIFI6，USB3.0*2、USB2.0*1、 HDMI、千兆RJ45网口；32G内存。摄影摄像视场清晰范围≥92%，目镜观察与显示屏观察时图像齐焦≤0.013mm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4、物镜：消色差物镜4倍，成像清晰圆直径≥18.5mm,；10倍，成像清晰圆直径≥18.4mm，10倍物镜景深范围内像面的偏摆≤0.01mm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5、转换器：四孔物镜转换器，转换器稳定性≤0.002mm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7、聚光镜：阿贝式聚光镜N.A1.25（带光栏），粗微调同轴调节，粗调行程≥25mm微调最小读数值0.002mm，微调空回≤0.003mm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8、电源：宽电压超高亮度3WLED光源，寿命长、功耗小、热量低、亮度强、色温高、操作安全；照明系统与观察系统光轴应一致，照明均匀，无一边亮一边暗现象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▲9、（1）4倍物镜成像清晰圆直径≥18.5mm、10倍物镜成像清晰圆直径≥18.4mm、40倍物镜成像清晰圆直径≥18.5mm、100倍物镜成像清晰圆直径≥18.3mm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（2）10倍物镜景深范围内像面的偏摆≤0.01mm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（3）显微镜目镜放大率准确度≤0.42%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（4）显微镜物镜放大准确率≤±0.5%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（5）微调机构空回≤0.003mm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（6）转换器稳定性≤0.002mm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（7）双目系统左右视场像面中心偏差：上下≤0.03mm，左右内侧≤0.02mm，双目系统左右光轴平行度：水平发散≤8，垂直交叉≤6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（8）摄影摄像视场清晰范围≥92%，目镜观察与显示屏观察时图像齐焦≤0.013mm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（9）载物台侧向受5N水平方向作用力最大位移≤0.01mm、不重复性≤0.02mm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（10）用机械使标本在5mmX5mm范围内移动时的离焦量≤0.004mm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注：需提供第三方检测机构出具的有效检测检验报告（检测检验报告上须含有“CMA”或“CNAS”标志）</w:t>
            </w:r>
            <w:r>
              <w:rPr>
                <w:rFonts w:hint="eastAsia" w:ascii="宋体" w:hAnsi="宋体" w:eastAsia="宋体" w:cs="宋体"/>
                <w:b/>
                <w:bCs/>
                <w:i w:val="0"/>
                <w:iCs w:val="0"/>
                <w:color w:val="auto"/>
                <w:sz w:val="21"/>
                <w:szCs w:val="21"/>
                <w:highlight w:val="none"/>
                <w:u w:val="none"/>
                <w:lang w:val="zh-CN" w:eastAsia="zh-CN" w:bidi="ar"/>
              </w:rPr>
              <w:t xml:space="preserve">。</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注射器</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1、产品为医用一次性注射器，不含针头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2、产品为5ml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整理箱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矮型，储存及分发药品用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塑料洗瓶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250mL或500mL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三脚架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采用碳钢或φ6mm冷拉钢材造，三脚均布，高度不小于156mm，三脚内接圆直径不小于120mm。2. 上支承环平整，直径＞80mm。3. 三支撑脚与圆环间焊接牢靠，分布均匀，焊点光滑、平稳，三脚及支承环钢材直径不小于6mm，表面经酸洗，磷化后喷塑或喷黑色防锈、耐热强化漆。4. 表面不应有明显的凹痕、裂缝、变形等缺陷；表面涂镀层应均匀，不应起泡、龟裂、脱落和磨损；不应有锈蚀及其他机械损伤。</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托盘天平</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1、产品由底座、横梁、平衡螺母、标尺、游标、指针、刻度盘、托盘和砝码组成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2、产品最大称量值：200g,精度值0.2g</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1、产品为棒式红液温度计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2、测量范围：0℃～100℃，精度值1℃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酸度计(pH计)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产品由始祖鸟化石模型和复原模型组成，分别置于底座上，模型应采用硬塑料制作。示头骨、脊柱、肋骨、附肢骨和羽毛印迹，各部形态正确清晰，并显示化石裂缝。 骨化石与石块的颜色应有区别。头骨小而平，上下颌齿槽内具尖锐小齿，眼窝大且有一圈巩膜骨，鼻孔位于前端。示颈椎、胸椎、综荐骨和尾椎，尾椎游离不具尾综骨。示颈肋、胸肋和腹壁肋，肋骨细小无钩</w:t>
            </w:r>
            <w:r>
              <w:rPr>
                <w:rFonts w:hint="eastAsia" w:ascii="宋体" w:hAnsi="宋体" w:eastAsia="宋体" w:cs="宋体"/>
                <w:i w:val="0"/>
                <w:iCs w:val="0"/>
                <w:color w:val="auto"/>
                <w:sz w:val="21"/>
                <w:szCs w:val="21"/>
                <w:highlight w:val="none"/>
                <w:u w:val="none"/>
                <w:lang w:val="en-US" w:eastAsia="zh-CN" w:bidi="ar"/>
              </w:rPr>
              <w:t xml:space="preserve">状突起。前肢骨示肩骨、肱骨、桡骨、尺骨、掌骨和指骨。腕骨和掌骨彼此分离，翼上三指游离且指端具爪。后肢骨示坐骨、耻骨、股骨、胫骨、跗骨客骨、趾骨和爪。趾骨游离向后伸长，足具四趾，三趾向前一指向后。指骨和践骨均匀分布。羽毛示尾羽和飞羽的印迹。始祖鸟复原模型的身体大小和姿态根据化石模型的比例来确定，示头、颈、躯干、尾、翼、足。头部布满鳞片，体被羽毛，尾羽对称排列。头顶平，嘴无喙具齿，鼻孔位于上颌前端。上三指彼此分离，指分节指端具爪。趾分节，三趾向前一趾向后，部与趾均具鳞片。齿着白色，眼、爪、体、底座颜色应有区别。</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本模型使用于动物细胞结构时作为直观教具。PVC材质。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该模型以目前不较多的人所接受的“磷脂液态馕嵌模型”之原理为依据制作。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脂质分子由呈球状的头和呈丝状的尾组成。头部为亲水端，朝向膜内、外两侧、尾为输水端，朝向内膜中央，从而形成三片层结构。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本模型适用于生物教学时，讲授电镜下细胞的结构所使用的直观教具。供学生了解细胞的流动镶嵌构造、蛋白质和脂质分子的排列方式。</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DNA结构模型</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四种碱基、脱氧核糖、磷酸彼此分离</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玉米穗</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标本在80x和200x学生显微镜下观察叶下表皮形态和气孔结构。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能看清不规则形的下表皮细胞，及其胞核和分散在下表皮细胞间的气孔。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能看清正常开放的气孔形态和新月形的保卫细胞、胞核和叶绿体。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1.标本在400×生物显微镜下观察植物细胞的胞间连丝形态。2.能看清胚乳的多边形厚壁贮藏细胞，认出细胞壁、胞间层和细胞腔。3.能看清许多细小的胞间连丝将两个相邻细胞的原生质体连在一起。</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黑藻叶装片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酵母菌装片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1.标本在100x和400x生物显微镜下观察酵母菌的形态。2.酵母菌为单细胞卵圆形。能看清细胞壁、细胞质、细胞核和液泡等。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水绵装片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1.标本在80×和200×学生显微镜下能看清丝状体内圆柱形的营养细胞，位于中央的胞核，呈星芒状的原生质、平立的细胞横壁，作螺旋盘绕的叶绿体呈带状，以及纵列于叶绿体上的蛋白核等。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产品整体包装，切片间隔由海绵填充避免磕碰保护切片完整性，标本在80×和200×学生显微镜下，观察大肠杆菌涂片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1.在100×和400×生物显微镜下观察动物细胞有丝分裂的各期形态。  2.能看清细胞分裂过程中的三个时期：前期、中期和后期或中期、后期和末期。  3.能看清分裂前的细胞核和分裂各期的中心体（中期和后期显著）、染色体以及卵壳、为宫壁等，纺锤</w:t>
            </w:r>
            <w:r>
              <w:rPr>
                <w:rFonts w:hint="eastAsia" w:ascii="宋体" w:hAnsi="宋体" w:eastAsia="宋体" w:cs="宋体"/>
                <w:i w:val="0"/>
                <w:iCs w:val="0"/>
                <w:color w:val="auto"/>
                <w:sz w:val="21"/>
                <w:szCs w:val="21"/>
                <w:highlight w:val="none"/>
                <w:u w:val="none"/>
                <w:lang w:val="en-US" w:eastAsia="zh-CN" w:bidi="ar"/>
              </w:rPr>
              <w:t xml:space="preserve">体隐约可见。  4.取材于马蛔虫子宫，作子宫的纵切片，材料长度不小于10mm，每张玻片板放材料一片；也可作子宫的横切片，每张玻片放不同部位的横切片2～4片，以保证观察到细胞分裂的各个时期。  5.切片厚度为6μm～8μm。  6.卵和卵壳基本呈圆形，子宫内卵应饱满，卵不得脱出卵壳外，胞核、染色体、中心体着色明显，子官壁完整。  7.标本具有下列一项时为二级品：  7.1 中、后期的中心体色淡，但仍可辨认；  7.2 部分卵壳有凹陷，但不影响观察细胞分裂；  7.3 卵着色过深，但中心体、染色体仍可辨认清楚。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1.标本在400x生物显微镜下能看到大核、小核，2.标本取材于人工培养的草履虫，3.标本双层染色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产品整体包装，切片间隔由海绵填充避免磕碰保护切片完整性，标本在80×和200×学生显微镜下，观察蝗虫精巢减数分裂</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蛙血涂片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产品整体包装，切片间隔由海绵填充避免磕碰保护切片完整性，标本在80×和200×学生显微镜下，观察蛙血涂片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蛙或蝾螈的表皮细胞</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1.取材为哺乳动物的膈肌。 2.横切和纵切的切片厚度均在8μm以内，每张玻片放纵横切片各一片。 3.在纵断面上能看到肌外膜和成束的肌纤维，肌纤维上有明暗相间的横纹，即明带和暗带，在肌膜下可见圆形或长形的胞核。 4.在横断面上能看清肌外膜、肌束膜、肌纤维膜、肌纤维及其胞核和小血管等。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1.取材于两栖动物或哺乳动物消化管的肌层，去掉粘膜及粘膜下层后做分离装片。 2.细胞应分离适中，形态正常，材料内不得有污物。 3.能看清大部分被分离成单个的长菱形平滑肌细胞，在细胞中部有被染成深色杆状或椭圆状的胞核。 4.在80×和200×学生显微镜下清楚观察平滑肌细胞的形态。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心肌切片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1.取材为哺乳动物的心脏。 2.切片厚度在8μm以内，材料面积不小于4mm×4mm。 3.在80×和200×学生显微镜下清楚观察心肌的结构。</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1.取材为脊髓灰质前角中的运动神经元，能看清运动神经元的细胞体和突起、细胞体内的细胞核、少量的神经纤维和神经胶质的细胞的细胞核，作涂片或分离装片。 2.神经元应分布均匀，形态正常，无破碎现象，在80×镜下，盖玻片中间部分的任一视野内应出现不少于五个运动神经元。 3.在80×和200×学生显微镜下可清楚观察运动神经元的形态。</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产品整体包装，切片间隔由海绵填充避免磕碰保护切片完整性，标本在80×和200×学生显微镜下，观察胰腺切片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1.标本在1000×生物显微镜下，观察46条人染色体; 每组两片，男性、女性各一片。2.应能认出每条染色体含有两条染色单体，借着一个着丝粒彼此连接。3.能认出着丝粒向两端伸展的染色体臂以及区别长臂与短臂并在此基础上认出中央着丝粒，空中央着丝粒，近端着丝粒染色体。4.标本取材于人工培养的正常淋巴系统。5.吉姆萨（Giemsa）染液或醋酸红染色。</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产品整体包装，切片间隔由海绵填充避免磕碰保护切片完整性，标本在80×和200×学生显微镜下，观察DNA和RAN在细胞中的分布</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线粒体切片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产品整体包装，切片间隔由海绵填充避免磕碰保护切片完整性标本在80×和200×学生显微镜下，观察线粒体切片</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1、产品玻璃量筒和塑料底座组成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容量瓶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1、产品为玻璃制容量瓶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2、产品规格：φ15mm×150mm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2、产品最大容量100ml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烧杯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酒精灯主体为高硼硅玻璃制造，容积为150ml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漏斗</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1、产品为玻璃制品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2、产品最大口径为60mm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1、产品由滴管和红胶头组成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2、滴管为玻璃制品，长度120mm,直径为7mm～8mm，一端卷边，一端拉尖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3、红胶头为橡胶制品，安上后不易脱落</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比色管</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1、产品由比色管和玻璃塞组成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2、比色管最大刻度为25ml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广口瓶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2、产品容量：250mL</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2、产品规格：棕色30mL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滴瓶</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1、产品全部由高硼硅玻璃制造，无明显气泡,由细口瓶、滴头和胶头组成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2、产品规格：棕色60mL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4、滴头做翻口处理，瓶口上部内侧和滴头外侧做磨砂处理</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木质，带有弹簧夹</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石棉网</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1、产品由钢丝网和石棉组成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2、钢丝网尺寸为125*125mm，石棉直径不小于80mm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塑料或木质或金属材料</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φ5mm～6mm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千克</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1、产品由高硼硅玻璃制，由上下盖组成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2、上盖直径60mm，壁厚不低于1.5mm</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规格：25.4mm×76.2mm；厚度：0.8mm～1mm；包装：50片/盒，化学性能稳定。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20mm×20mm，厚度：0.13mm～0.17mm 包装：50片/盒，化学性能稳定</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防酸碱</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急救包</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1、产品包含：普通绷带、弹性绷带、医用胶带、安全别针、剪刀、口对口人工呼吸器、</w:t>
            </w:r>
            <w:r>
              <w:rPr>
                <w:rFonts w:hint="eastAsia" w:ascii="宋体" w:hAnsi="宋体" w:eastAsia="宋体" w:cs="宋体"/>
                <w:i w:val="0"/>
                <w:iCs w:val="0"/>
                <w:color w:val="auto"/>
                <w:sz w:val="21"/>
                <w:szCs w:val="21"/>
                <w:highlight w:val="none"/>
                <w:u w:val="none"/>
                <w:lang w:val="en-US" w:eastAsia="zh-CN" w:bidi="ar"/>
              </w:rPr>
              <w:t xml:space="preserve">止血贴、清洁湿纸巾、纱布片、创口贴、尼龙包；2、普通绷带为白色消毒棉质纱布.3、弹性绷带为白色消毒弹性纱布.成卷状；4、医用胶带为白色胶布或纸胶带，幅宽10±1mm成卷状；5、安全别针：表面镀层完好、无锈迹；6、剪刀剪刃长不小于4cm，且剪刃锋利无缺口，剪体裸露部位无锈迹；7、口对口人工呼吸器洁净无污迹，长度不小于14cm，两端呼吸嘴可自由转动，中部软管可适度弯折；8、止血贴为输液专用型，无菌纸袋封装；9、清洁湿纸巾为无菌塑纸袋封装；10、纱布片为纯棉无菌白色纱布，自封尼龙袋裹装；11、创可贴为无菌创可贴。</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细胞的结构实验箱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实验器材：玻片标本（100片/盒）、载玻片、盖玻片（100片/盒）、100mL烧杯、镊子、酒精灯、解剖剪刀、解剖针等。耗材自备。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使用高倍显微镜观察几种细胞；2、实验 用高倍显微镜观察叶绿体和细胞质的流动；3、探究 细胞的观察和测量等。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细胞的物质基础实验箱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实验器材：试管架、试管（150mm）、培养皿（90mm）、100mL烧杯、试管夹、10mL量筒、分子结构模型等。耗材自备。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检测生物组织中的糖类、脂肪和蛋白质；2、实验活动 观察氨基酸结构模型等。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酶及酶的应用实验箱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实验器材：250mL烧杯、400mL烧杯、试管（150mm）、10mL量筒、300mm温度计、300mm直尺、电子秤、试管夹、注射器等。耗材自备。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影响酶活性的条件；2、实验 比较过氧化氢在不同条件下的分解；3、实验 淀粉酶对淀粉和蔗糖的水解作用；4、探究 探究酶的高效性；5、探究 酵母细胞的固定化等。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探究细胞的代谢实验箱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实验器材：镊子、100mL烧杯、50mL烧杯、研钵（含研棒）、75mm漏斗、175mm剪刀、载玻片、盖玻片（100片/盒）、注射器等。耗材自备。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绿叶中色素的提取和分离；2、实验 探究植物细胞的吸水和失水等。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细胞的增殖实验箱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实验器材：玻片标本（100片/盒）、载玻片、盖玻片（100片/盒）、镊子、剪刀、广口瓶（含塞）、100mL烧杯等。耗材自备。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观察根尖分生区组织细胞的有丝分裂；2、实验 观察蝗虫精母细胞减数分裂装片等。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探究遗传机制实验箱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实验器材：玻片标本（100片/盒）、DNA双螺旋结构模型组件等。耗材自备。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性状分离比的模拟实验；2、实验 建立减数分裂中染色体变化的模型等。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探究进化原因实验箱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实验器材：玻片标本（100片/盒）、300mm直尺、90mm培养皿、酒精灯、100mL烧杯等。耗材自备。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观察染色体变异现象的装片等。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稳态的调节实验箱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实验器材：护目镜、秒表、90mm培养皿、橡皮锤、电子体温计、200mm玻璃棒、解剖针、镊子、50mL量筒、100mL烧杯、50mL烧杯等。耗材自备。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模拟生物体维持pH的稳定；2、探究 观察牛蛙的脊髓反射现象；3、实验活动 运动前后人体呼吸、心率的变化；4、实验活动 血压的测定等。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植物的激素作用实验箱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实验器材：镊子、50mL量筒、100mL烧杯、100mL容量瓶、电子秤等。耗材自备。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探究生长素类调节剂促进枝条生根的最适浓度等。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生物与环境实验箱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实验器材：血球计数板和配套血盖板、放大镜、干湿计、300mm温度计、剪刀、铁架台、通用夹、十字夹、150mm试管、100mL烧杯、铁小环、75mm漏斗、镊子等。耗材自备。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培养液中酵母菌种群数量的变化；2、实验 调查草地中某种双子叶植物的种群密度；3、实验 研究土壤中小动物类群丰富度等。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发酵技术的应用实验箱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实验器材：250mL锥形瓶、250ml烧杯、电子秤、载玻片、盖玻片（100片/盒）、150mm试管、200mm玻璃棒、直角玻璃管（50*100mm）、直角玻璃管（50*200mm）等。耗材自备。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制作传统发酵食品；2、探究 腐乳的制作等。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微生物培养实验箱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实验器材：250mL锥形瓶、250ml烧杯、50ml烧杯、电子秤、150mm试管、酒精灯、75mm漏斗、300mm温度计、移液枪、枪头盒、涂布器等。耗材自备。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土壤中分解尿素的细菌的分离与计数；2、实验 酵母菌的纯培养；3、分解纤维素的微生物的分离等。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植物组培技术实验箱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实验器材：250mL锥形瓶、400ml烧杯、200mm玻璃棒、90mm培养皿、酒精灯、10mL量筒、载玻片、盖玻片（100片/盒）等。耗材自备。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菊花的组织培养；2、探究 胡萝卜的组织培养等。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核酸提取与鉴定实验箱</w:t>
            </w:r>
            <w:r/>
          </w:p>
        </w:tc>
        <w:tc>
          <w:tcPr>
            <w:tcBorders>
              <w:top w:val="single" w:color="000000" w:sz="4" w:space="0"/>
              <w:left w:val="single" w:color="000000" w:sz="4" w:space="0"/>
              <w:bottom w:val="single" w:color="000000" w:sz="4" w:space="0"/>
              <w:right w:val="single" w:color="000000" w:sz="4" w:space="0"/>
            </w:tcBorders>
            <w:tcW w:w="630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外观尺寸(mm)：≥485*370*155mm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箱体颜色：灰色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箱体材料：高密度工程塑料（聚丙烯），使用0.5mm厚的PVC背胶板印刷全套（4张）铭牌，不起皱，不脱落。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实验器材：250mL锥形瓶、100ml烧杯、200mm玻璃棒、90mm培养皿、10mL量筒、试管架、75mm漏斗、微量移液枪、枪头盒等。耗材自备。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可做实验：1、实验 DNA的提取和鉴定等。</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物理数字化传感器</w:t>
      </w:r>
      <w:r/>
    </w:p>
    <w:tbl>
      <w:tblPr>
        <w:tblStyle w:val="741"/>
        <w:tblW w:w="10234" w:type="dxa"/>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396"/>
        <w:gridCol w:w="5887"/>
        <w:gridCol w:w="694"/>
        <w:gridCol w:w="684"/>
        <w:gridCol w:w="787"/>
      </w:tblGrid>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物理数字化探究仪器【教师端】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注：▲上述第2、3项，提供第三方检测机构出具的有效检测检验报告（检测检验报告上须含有“CMA”或“CNAS”标志）。</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量程：30dB ～ 120dB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分辨率：0.1dB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远程测距传感器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10m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拉压式电子秤</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可以测量物体质量，有挂钩、托盘两种测量方式。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G-M计数器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量程：0cpm～40000cpm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 1cpm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热辐射传感器 </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双量程传感器，可用于测量物体表面温度或热辐射功率值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▲量程一：-50˚C ～ +150˚C 分辨率：0.01˚C；量程二：0W～2500W 分辨率：0.5W</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电荷传感器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▲量程一：-200nc～+200nc 分辨率：1nc；量程二：-20nc～+20nc 分辨率：0.1nc</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量程：-8g～+8g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分辨率：0.005g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可显示x、y、z3个方向上加速度的分量。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力/角度传感器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角度为三轴角度传感器，可同时测量x、y、z3个方向上角度的分量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量程：力：-50N ～ +50N，角度：-90° ～ 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分辨率：力：0.01N，角度：0.1°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软件可在同一界面实时显示力及3个方向的角度数值。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力学实验及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教学放射源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具有硝酸钍涂层的纱网，安全低辐射。可配合G-M计数器使用，适用于放射源计数率测量。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空气分子间的作用力实验器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由底板、支架、双向活塞筒等构成，可配合静力传感器使用，适用于研究空气分子间的作用力的大小。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玻璃导电探究实验器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电学实验板基座200*100mm，1.6mm板厚，嵌入金属丝的玻璃，可插在接线座上的鳄鱼夹。可配合微电流传感器使用，适用于玻璃导电探究实验。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温差电流探究实验器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实验板基座200*100mm，1.6mm板厚，受热传导回路由不同导体组成，回路有两个加热点，都可使用，任选一个加热点，加热后即有了温度差，从而产生了电动势，产生了电流。可配合微电流传感器使用，适用于温差电流探究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由20匝线圈、40匝线圈及电路构成，可配合电流传感器，磁感应强度传感器使用，适用于测量不同匝数相同电流或同一线圈不同电流时线圈产生磁感强度。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热传导探究实验器（带温度）</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绝热底座，含三种不同材质金属竿，每竿上有位置标度，配有三个环形温度探头，可配合普通温度传感器使用，适用于研究热传导现象。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金属热膨胀探究实验器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铝型材底座长400 mm，宽90 mm，表面氧化处理，高度为80mm不锈钢材质的立柱一侧带M4通孔，另外一侧不带孔，表面抛光，分界面倒角，260mm长0.7mm直径紫铜丝，两端带有4mm直径拉环的金属丝，50mm长M4螺杆钩，配置M4蝶型螺母，可配合微力传感器使用，适用于金属热膨胀效应。</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电流与磁力的关系实验器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由底板、支架、电磁铁等构成，电磁铁位置可调。可配合微力传感器和电流传感器等使用，适用于研究电磁铁的电流与磁力的关系。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无极调速摩擦力实验器/二力平衡实验器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由电机与金属支架构成，通过电机拉动物块来实现动、静摩擦力。可配合多用力学轨道实验器、静力传感器、光电门传感器等使用，适用于探究滑动摩擦力、探究最大静摩擦力、二力平衡等实验。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逻辑电路模块组合套装</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由与或非三种门电路、开关电路、蜂鸣器、指示灯、光控、电源等组件构成，适用于数字电路、自动控制、逻辑电路等实验。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多功能程控电源</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直接数字合成（DDS）技术，FPGA设计，超低功耗；双通道输出，能够同步工作，相位差可调；具有最大可达500秒的线性扫频和对数扫频功能；具有正弦波、三角波、方波、升锯齿波、降锯齿波以及占空比可调的脉冲波等基本函数波形，同时还具有16组由用户自定义的任意波；具有M0~M9共10组参数存储位，开机自动调出M0的数据；在12MHz以下，幅度最</w:t>
            </w:r>
            <w:r>
              <w:rPr>
                <w:rFonts w:hint="eastAsia" w:ascii="宋体" w:hAnsi="宋体" w:eastAsia="宋体" w:cs="宋体"/>
                <w:i w:val="0"/>
                <w:iCs w:val="0"/>
                <w:color w:val="auto"/>
                <w:sz w:val="21"/>
                <w:szCs w:val="21"/>
                <w:highlight w:val="none"/>
                <w:u w:val="none"/>
                <w:lang w:val="en-US" w:eastAsia="zh-CN" w:bidi="ar"/>
              </w:rPr>
              <w:t xml:space="preserve">大可达15Vp-p，超过12MHz，幅度最大达到8Vp-p；内置精密的-20dB衰减器，幅度分辨率最小达到1mV；具有-120%~+120%的直流偏置功能；脉冲波占空比调节精确到0.1%；具有4路可变相位差的TTL输出；具有频率测量、周期测量、正负脉宽测量、占空比测量和计数功能；可选四种测频闸门时间，从而在速度与精确度上取得平衡；能够使用PC机控制该仪器，并且能够在PC机上编辑任意波形后下载到仪器输出波形。该型号机器可以选配增加功率模块，使信号输出幅度达到30Vpp，输出电流最大达到1A；自带液晶显示功能。</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30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座式有机玻璃支架，固定有内外两只线圈。可配合微电流传感器、微电压传感器、磁场强度传感器、多功能程控电源等使用，适用于感生电动势的研究、法拉第电磁感应定律等实验。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水凝固与冰融化实验器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本实验器配有水槽和金属围挡，内置USB接口的温度传感器；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配有智能化散热系统，能够迅速的排除热量，瞬间结冰；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可在软件上观察水的瞬间结冰与冰融化的过程中温度曲线的变化；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适用于探究水的瞬间结冰与冰融化的规律及图线。</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摩擦做功探究实验器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由100X20mm铜管，带孔橡皮塞构成，可插入温度传感器探头，配置600mm棉绳。可配合普通温度传感器使用，适用于摩擦做功实验。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电学系列实验模块（12块）</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块电学实验板，电学实验名称:半波、全波整流、滤波；复杂电路分析；RC、RL移相；测量电池的电动势和内阻；分压、限流；二、三极管特性曲线、三极管特性曲线、三极管放大电路；恒压源，恒流源；双稳态多谐振荡；简单门电路；电容充放电及串并联；LC振荡自感现象；描绘小灯泡的伏安特性曲线等。可配合电流传感器、电压传感器等使用，适用于多种电学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无极调速向心力实验器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铸铁底座、水平基座、曲臂、摇臂、转动系统、无级调速电机驱动装置、误差补偿装置、挡光杆组成。可配合静力传感器和光电门传感器使用，适用于研究物体在自由减速转动过程中F-ω(固定m和r)关系探究和研究物体在固定转速中F-mv²/r的验证等向心力探究实验。实验器可调节自动模式和手动模式，自动模式下由电机驱动，可由电源控制转动速度。</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数字化单摆实验套件</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由二维运动传感器(发射、接收)、座面固定架、发射固定座、立杆（25cm、35cm、55cm）、横杆等组成。可方便迅速调节单摆长度，配合软件可迅速绘制轨迹图与摆幅图，可完成单摆实验和单摆摆长与周期的关系。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量程：-10N～10N；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分辨率：0.001N；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精度：1%FS；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内置力传感器，能够真实直观的显示斜面上物体受力的情况，并能精确测量出各个不同角度的斜面上力的作用效果，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配置300g圆柱形的重物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276"/>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气体流速与压强实验器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底座支架的材质为亚克力材质，主要由3个不同管径的pvc管道、可调速风机，电源构成。可配合双气压传感器使用，适用于探究气体流速和压强的关系。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二维运动的合成与分解实验器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立式铝合金支架、滚珠丝杠传动、有机玻璃曲线面板；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通过USB接口连接电脑进行操作；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系统软件可以控制X轴和Y轴的速度、加速度以及运动时间；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画板及软件绘图区实时同步绘制显示物体的运动轨迹，便于实时观察运动轨迹的相对坐标，同时通过软件显示数据。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智能动生电动势实验器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auto"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auto"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auto"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auto"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auto"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Borders>
              <w:top w:val="single" w:color="auto" w:sz="4" w:space="0"/>
              <w:left w:val="single" w:color="auto" w:sz="4" w:space="0"/>
              <w:bottom w:val="single" w:color="auto" w:sz="4" w:space="0"/>
              <w:right w:val="single" w:color="auto" w:sz="4" w:space="0"/>
            </w:tcBorders>
            <w:tcW w:w="1023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物理数字化探究仪器【学生端】</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Borders>
              <w:top w:val="single" w:color="auto" w:sz="4" w:space="0"/>
              <w:left w:val="single" w:color="auto" w:sz="4" w:space="0"/>
              <w:bottom w:val="single" w:color="auto" w:sz="4" w:space="0"/>
              <w:right w:val="single" w:color="auto"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auto"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Borders>
              <w:top w:val="single" w:color="auto"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Borders>
              <w:top w:val="single" w:color="auto"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auto"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静力传感器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量程一：-50N ～ +50N  分辨率：0.01N，拉力为正，压力为负；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量程二：-10N ～ +10N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光电门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五种计时方式：光闸计时，运动计时，单摆计时，光栅计时，滴定计数；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分辨率：10μS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拥有五种计时方式，软件调节计时方式，数据传输端口为USB接口。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量程二：-600mA～+600mA 分辨率：1mA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电压传感器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量程一：-15V ～ +15V 分辨率： 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量程二：-3V ～ +3V 分辨率： 0.002V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微电流传感器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量程一：-2000μA ～ +2000μA 分辨率：1μA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量程二：-100μA ～ +100μA  分辨率：0.1μA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量程三：-20μA ～ +20μA 分辨率：0.01μA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量程四：-5μA ～ +5μA 分辨率：0.01μA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拥有四种量程，软件选择量程，数据传输端口为usb接口。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声振动传感器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量程：-100%～100%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测量频率范围：20Hz～20kHz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磁感应强度传感器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量程一：-20mT ～ +20mT 分辨率：0.02mT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量程二：-1mT ～ +1mT 分辨率：0.001mT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位移(分体)传感器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量程：0.2m ～ 3m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微力传感器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量程一：-10N ～ +10N 分辨率：0.01N，拉力为正，压力为负；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 -2N ～ +2N 分辨率：0.001N，拉力为正，压力为负；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支持与计算机的有线通讯、无线通讯和数显模块显示三种工作方式，用于测量拉力（正值）与压力（负值）。</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多用力学轨道</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配置：含1.2m铝合金轨道一条、轨道小车两台、弹簧两根、100克配重片三块、挡光片四片（宽度分别为2、4、6、8cm），能够完成基础型教材高中规定的力学实验及上百个扩展实验，可替代气垫导轨，避免气轨噪声和能耗。可配合光电门传感器、静力传感器、位移分体传感器等使用，适用于匀速直线运动、匀加速直线运动、动量定理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自由落体黑白栅</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中间有均匀的10mm宽挡光片若干，每个挡光片间距为10mm。可配合光电门传感器使用，适用于光电门的光栅挡光实验。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玻意尔定律实验器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亚克力材质，外罩、气筒等组成，配有三通阀。可配合气体压强传感器使用，适用于研究和验证玻意尔定律。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查理定律探究实验器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由玻璃质250ml锥形瓶，带孔橡胶塞构成，能密闭插入温度传感器探头和压强传感器探头。可配合温度传感器、压强传感器使用，适用于一定质量理想气体在体积不变情况下温度与压强间的正比关系的验证。</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力的相互作用实验器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体铝合金结构，可以同时固定两个静力传感器，静力传感器之间有固定双向作用的弹簧，具备调节基座和调节螺栓，保证力传感器作用在同一个物体（弹簧上），并且作用在同一直线上，可配合静力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由底板、支架、多组线圈、磁体构成。可配合微电流传感器使用，适用于电磁感应定律的定性演示。</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压缩做功探究实验器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20mL注射器，铝型材底座，和注射器固定柱，配合温度传感器可完成压缩气体做功使温度升高的实验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环形线圈</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高灵敏度、无源、塑壳封装、带屏蔽，线圈切割地磁线即可产生感生电流，能够完成教材规定的微弱磁通量变化时感生电流等多个涉及微小电流变化测量的实验，可配合微电流传感器使用。</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螺线管</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可接学生电源，塑壳封装，产生匀强磁场，可配合电流传感器、磁感应强度传感器使用，适用于匀强磁场的研究、通电螺线管的磁感应强度与电流的关系等实验。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地磁探究实验器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Style w:val="983"/>
                <w:rFonts w:hint="eastAsia" w:ascii="宋体" w:hAnsi="宋体" w:eastAsia="宋体" w:cs="宋体"/>
                <w:color w:val="auto"/>
                <w:sz w:val="21"/>
                <w:szCs w:val="21"/>
                <w:highlight w:val="none"/>
                <w:lang w:val="en-US" w:eastAsia="zh-CN" w:bidi="ar"/>
              </w:rPr>
              <w:t xml:space="preserve">150匝</w:t>
            </w:r>
            <w:r>
              <w:rPr>
                <w:rFonts w:hint="eastAsia" w:ascii="宋体" w:hAnsi="宋体" w:eastAsia="宋体" w:cs="宋体"/>
                <w:i w:val="0"/>
                <w:iCs w:val="0"/>
                <w:color w:val="auto"/>
                <w:sz w:val="21"/>
                <w:szCs w:val="21"/>
                <w:highlight w:val="none"/>
                <w:u w:val="none"/>
                <w:lang w:val="en-US" w:eastAsia="zh-CN" w:bidi="ar"/>
              </w:rPr>
              <w:t xml:space="preserve">高密度线圈，电学基座，接触金属片，切割地磁场产生感生电动势和电流。可配合微电流传感器使用，适用于切割地球磁场产生微弱电流等实验。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电阻定律探究实验器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由固定板、多种金属丝组成，可配合电流传感器、电压传感器使用，可验证在材料、半径、长度等条件改变时的电阻定律。</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机械能守恒-平抛运动探究实验器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由铁架台、弧形刻度盘、运动弧形轨道、运动钢球以及触地板构成。可配合光电门传感器使用，适用于动能势能转化实验以及平抛运动实验。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安培力探究实验器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底座长156mm，宽50mm，高65mm，U型构造，内部嵌入钕铁硼永久强磁体，磁体间宽度20mm，产生匀强磁场； “S”型固定块方便快捷固定在力传感器上，固定线框时长边固定在s型固定块底部和短边固定在s型固定块底部时线圈的对边处于磁场中同一水平线，150匝线圈长130mm，宽60 mm的矩形线框内部为铜漆包线材。可配合静力传感器、电流传感器使用，适用于安培力探究、验证右手定则等实验。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斜面上力的分解探究实验器</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内置力传感器（量程-10N～10N，分辨率0.001N，精度1%FS），能够真实直观的显示斜面上物体受力的情况，并能精确测量出各个不同角度的斜面上力的作用效果，</w:t>
            </w:r>
            <w:r>
              <w:rPr>
                <w:rStyle w:val="983"/>
                <w:rFonts w:hint="eastAsia" w:ascii="宋体" w:hAnsi="宋体" w:eastAsia="宋体" w:cs="宋体"/>
                <w:color w:val="auto"/>
                <w:sz w:val="21"/>
                <w:szCs w:val="21"/>
                <w:highlight w:val="none"/>
                <w:lang w:val="en-US" w:eastAsia="zh-CN" w:bidi="ar"/>
              </w:rPr>
              <w:t xml:space="preserve">配置300圆柱形的重物</w:t>
            </w:r>
            <w:r>
              <w:rPr>
                <w:rFonts w:hint="eastAsia" w:ascii="宋体" w:hAnsi="宋体" w:eastAsia="宋体" w:cs="宋体"/>
                <w:i w:val="0"/>
                <w:iCs w:val="0"/>
                <w:color w:val="auto"/>
                <w:sz w:val="21"/>
                <w:szCs w:val="21"/>
                <w:highlight w:val="none"/>
                <w:u w:val="none"/>
                <w:lang w:val="en-US" w:eastAsia="zh-CN" w:bidi="ar"/>
              </w:rPr>
              <w:t xml:space="preserve">；底座为铝型材材质长度为440mm，黑色氧化表面；配置辅助标尺（0-90°），可以读出斜面倾角；斜面在抬起的任意倾角位置可以固定。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力的合成分解探究实验器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机密力矩盘带刻度，可调夹角，与力传感器配套的滚轴，标准物块。可配合静力传感器使用，适用于力的合成分解等实验。</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焦耳定律实验器</w:t>
            </w:r>
            <w:r/>
          </w:p>
        </w:tc>
        <w:tc>
          <w:tcPr>
            <w:tcBorders>
              <w:top w:val="single" w:color="000000" w:sz="4" w:space="0"/>
              <w:left w:val="single" w:color="000000" w:sz="4" w:space="0"/>
              <w:bottom w:val="single" w:color="000000" w:sz="4" w:space="0"/>
              <w:right w:val="single" w:color="000000" w:sz="4" w:space="0"/>
            </w:tcBorders>
            <w:tcW w:w="588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三个量热器组成，每个量热器内配置不同阻值电阻，可搭建出相同电流、不同电阻及相同电阻、不同电流的电路。可配合温度传感器、电流传感器使用，适用于研究电流的热效应与电流、电阻的关系。</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高中物理探究实验指导手册，内含123个高中物理探究实验，有详细的实验步骤指导。适用于高中物理探究实验参考。</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化学数字化传感器</w:t>
      </w:r>
      <w:r/>
    </w:p>
    <w:tbl>
      <w:tblPr>
        <w:tblStyle w:val="741"/>
        <w:tblW w:w="10252"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949"/>
        <w:gridCol w:w="6329"/>
        <w:gridCol w:w="685"/>
        <w:gridCol w:w="693"/>
        <w:gridCol w:w="778"/>
      </w:tblGrid>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化学数字化探究仪器【教师端】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氯离子传感器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双量程传感器，可用于测量溶液的物质的量浓度与质量浓度。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▲量程一：5x10-5mol/L～1mol/L 分辨率：0.0005mol/L；量程二：1.8ppm～35500ppm 分辨率：10ppm</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可拆卸式氯离子电极，电极与传感器主体通过BNC接口连接。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氧化还原传感器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量程：-2000mv～+2000mv；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可拆卸式ORP电极，电极与传感器主体通过BNC接口连接。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二氧化硫传感器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▲量程一：0ppm～20ppm 分辨率：0.1ppm；量程二：0mg/m³～7mg/m³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分辨率：1ppm；量程二：0g/m³～11g/m³ 分辨率：0.02g/m³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分辨率：±50ppm；量程二：0g/m³～25g/m³分辨率：±0.025g/m³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量程二：0mg/m³～800mg/m³ 分辨率：1mg/m³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氯气传感器</w:t>
            </w:r>
            <w:r/>
          </w:p>
        </w:tc>
        <w:tc>
          <w:tcPr>
            <w:tcW w:w="6329"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 ppm～50 ppm 分辨率：0.1 ppm；量程二：0mg/m³～15mg/m³ 分辨率：0.05mg/m³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滴定计数器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量程：0D ～ +∞D；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分辨率：1D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gridSpan w:val="6"/>
            <w:tcW w:w="10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化学数字化探究仪器【学生端】</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4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spacing w:line="240" w:lineRule="exact"/>
              <w:rPr>
                <w:rFonts w:ascii="Arial" w:hAnsi="Arial" w:cs="Arial"/>
                <w:color w:val="auto"/>
                <w:sz w:val="22"/>
                <w:szCs w:val="22"/>
                <w:highlight w:val="none"/>
                <w:shd w:val="clear" w:color="auto" w:fill="ffffff"/>
              </w:rPr>
            </w:pPr>
            <w:r>
              <w:rPr>
                <w:rFonts w:ascii="Arial" w:hAnsi="Arial" w:cs="Arial"/>
                <w:color w:val="auto"/>
                <w:sz w:val="22"/>
                <w:szCs w:val="22"/>
                <w:highlight w:val="none"/>
                <w:shd w:val="clear" w:color="auto" w:fill="ffffff"/>
              </w:rPr>
              <w:t xml:space="preserve">软件和信息</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ascii="Arial" w:hAnsi="Arial" w:cs="Arial"/>
                <w:color w:val="auto"/>
                <w:sz w:val="22"/>
                <w:szCs w:val="22"/>
                <w:highlight w:val="none"/>
                <w:shd w:val="clear" w:color="auto" w:fill="ffffff"/>
              </w:rPr>
              <w:t xml:space="preserve">技术服务业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多功能连接套件（中和滴定实验器）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合滴定计数器可以统计液滴数量，附件要与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可配合滴定计数器、PH传感器，、电导率传感器等使用，适用于酸碱中和滴定等实验。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电化学探究实验器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32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燃烧原理探究实验器</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一氧化碳传感器等使用，适用于探究充分燃烧与不充分燃烧现象。（三孔）</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trHeight w:val="499"/>
        </w:trPr>
        <w:tc>
          <w:tcPr>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4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rPr>
        <w:t xml:space="preserve">生物数字化传感器</w:t>
      </w:r>
      <w:r/>
    </w:p>
    <w:tbl>
      <w:tblPr>
        <w:tblStyle w:val="741"/>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79"/>
        <w:gridCol w:w="6464"/>
        <w:gridCol w:w="680"/>
        <w:gridCol w:w="668"/>
        <w:gridCol w:w="780"/>
      </w:tblGrid>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生物数字化探究仪器【教师端】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温湿度一体传感器，可同时测量温度与湿度两种数据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量程：温度：-40～ +85℃，相对湿度：1%RH ～ 100%RH  ；分辨率：温度：0.01℃，相对湿度：0.1%RH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软件可在同一界面实时显示温度及湿度数值。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多量程电流传感器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量程一：-3A ～ +3A 分辨率：0.01A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量程二：-300mA ～ +300mA 分辨率： 1mA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量程三：-30mA ～ +30mA 分辨率： 0.1mA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多量程电压传感器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量程一：-20V ～ +20V 分辨率：0.01V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量程二：-2V ～ +2V 分辨率：0.001V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量程三：-200mV ～ +200mV 分辨率：0.1mV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拥有三种量程，软件选择量程，数据传输端口为usb接口。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可拆卸式电学探头，探头与传感器主体通过BNC接口连接。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325"/>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溶解/气态二氧化碳</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可测量空气中的二氧化碳浓度及水溶液中的二氧化碳浓度。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一氧化碳传感器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 ppm；量程二：0mg/m³～800mg/m³ 分辨率：1mg/m³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氢气传感器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量程一：0ppm～1000ppm 分辨率：1ppm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量程二：0g/m³～11g/m³ 分辨率：0.02g/m³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▲量程一：0ppm～5000ppm 分辨率：5ppm；量程二：0mg/m³～2400mg/m³ 分辨率：2.5mg/m³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提供第三方检测机构出具的有效检测检验报告（检测检验报告上须含有“CMA”或“CNAS”标志）。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微气压传感器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量程：0Pa ～ 10000Pa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双量程传感器，可用于测量脉率及脉搏波形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量程一：25bpm～250bpm 分辨率：1bpm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量程二：0～100 分辨率：1 （脉搏波形）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拥有两种量程，软件选择量程，指脉式探头，数据传输端口为USB接口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心电图传感器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量程：0mv～5mv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分辨率：0.01mv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无线传输模块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锂电池容量：500mAH；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传输信号最大无障碍距离：100m；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蓝牙版本：4.0。</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数显模块</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显示屏：1.8寸TFT显示屏，电容式触摸屏；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与传感器连接方式：USB接口；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内置锂电池容量：4.2V，500mAH；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充电接口：MicroUSB接口；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可通过触摸屏进行选择量程和调零的操作。</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血压传感器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量程：0mmhg～255mmhg;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 mmhg；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袖带佩戴方式：臂式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专用软件界面，数据传输端口为usb接口。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支持与计算机的有线通讯及脱机单独使用两种工作方式。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量程：0μV～5000μV；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可拆卸式生物电探头，探头可连接3个EMG贴片。数据传输端口为USB接口。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支持与计算机的有线通讯、无线通讯两种工作方式。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检测生物电信号的强弱。内置电机驱动器连接口，可配合机械手臂完成生物电机械臂控制实验。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量程：35%～100%；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总盐度传感器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量程一：0ppm～10000ppm 分辨率：10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量程二：0ppm～1000ppm 分辨率：1 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可拆卸式总盐度电极，电极与传感器主体通过BNC接口连接。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溶解氧传感器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量程：0mg/L～20mg/L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 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极谱式铂阴极和银阳极探头,特氟龙可置换膜，自带温度补偿，无需复杂温补过程。</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肺活量传感器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量程：0ml～6000ml；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色度计传感器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采用四色光源为：蓝，绿，橙，红。软件可以实现颜色选择、校准。</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浊度计传感器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量程：0NTU～1000NTU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分辨率：0.1NTU</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颗粒物传感器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可同时测量PM1.0、PM2.5、PM10三种细微颗粒物的质量浓度。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量程：0 ～ 1000μg/m³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分辨率：1μg/m³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软件可在同一界面实时显示PM1.0、PM2.5及PM10的数值。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甲醛传感器</w:t>
            </w:r>
            <w:r/>
          </w:p>
        </w:tc>
        <w:tc>
          <w:tcPr>
            <w:tcW w:w="6464" w:type="dxa"/>
            <w:vAlign w:val="center"/>
            <w:textDirection w:val="lrTb"/>
            <w:noWrap w:val="false"/>
          </w:tcPr>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▲量程一：0～5ppm 分辨率：0.01ppm ；量程二：0μg/m³～3730μg/m³ 分辨率：7.5μg/m³</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注：提供第三方检测机构出具的有效检测检验报告（检测检验报告上须含有“CMA”或“CNAS”标志）。</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专用充电器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5V专用充电器，用于数显模块、无线传输模块等设备的充电及数据采集器的供电。</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数字远红外加热器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采用先进的电子可控硅调温线，能方便快速调节加热功率，加热体采用远红外线辐射器对液体进行辐射加热，无明火，受热面积大。加热套高度为90mm内孔直径为50mm， 一体化温度传感器设计，带有温度控制器和，温度控制器设置加热温度，led显示屏显示当前测量温度和加热温度。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生物电机械手组件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该组件由生物电传感器（USB接口）、生物电信号探头、自由度机械手（含舵机）、舵机驱动器、EMG专用电极片、电源、连接线构成。当手臂弯曲伸展时，机械手可跟随实现闭合、张开的动作，并且软件可同步记录生物电变化，即肌肉收缩，数值增大，肌肉舒张，数值减小。适用于生物电信号的检测与机械手的控制实验。                </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无线数字气象仪实验箱</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风向角度:量程0°～360°、分辨率45°；2、前1分钟风速:量程0～30m/s、分辨率1m/s；3、前5分钟最高风速:量程0～30m/s、分辨率1m/s；4、温度:量程-40～125℃、分辨率0.1℃；5、前1小时降雨量:量程0～1000mm、分辨率0.25mm；6、前24小时降雨量:量程0～1000mm、分辨率0.25mm；7、湿度:量程</w:t>
            </w:r>
            <w:r>
              <w:rPr>
                <w:rFonts w:hint="eastAsia" w:ascii="宋体" w:hAnsi="宋体" w:eastAsia="宋体" w:cs="宋体"/>
                <w:i w:val="0"/>
                <w:iCs w:val="0"/>
                <w:color w:val="auto"/>
                <w:sz w:val="21"/>
                <w:szCs w:val="21"/>
                <w:highlight w:val="none"/>
                <w:u w:val="none"/>
                <w:lang w:val="en-US" w:eastAsia="zh-CN" w:bidi="ar"/>
              </w:rPr>
              <w:t xml:space="preserve">0～100%、分辨率1%；8、气压:量程300～1100hpa、分辨率0.1hpa；9、光照度:量程0～65535Lux、分辨率1Lux；10、二氧化碳:量程0～5000ppm、分辨率1ppm；11、甲醛:量程0～500μg/m³、分辨率0.1μg/m³；12、PM2.5:量程0～1000μg/m³、分辨率1μg/m³；13、TVOC:量程0～1200μg/m³、分辨率0.1μg/m³；14、PM10:量程0～1000μg/m³、分辨率1μg/m³。通过wifi传输数据到计算机，专用软件记录数据及图形绘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配套专用软件：1、实时显示气象仪监测到的各类数据，并且能够以条形图的方式显示，条形图随监测到的数</w:t>
            </w:r>
            <w:r>
              <w:rPr>
                <w:rFonts w:hint="eastAsia" w:ascii="宋体" w:hAnsi="宋体" w:eastAsia="宋体" w:cs="宋体"/>
                <w:i w:val="0"/>
                <w:iCs w:val="0"/>
                <w:color w:val="auto"/>
                <w:sz w:val="21"/>
                <w:szCs w:val="21"/>
                <w:highlight w:val="none"/>
                <w:u w:val="none"/>
                <w:lang w:val="en-US" w:eastAsia="zh-CN" w:bidi="ar"/>
              </w:rPr>
              <w:t xml:space="preserve">据实时变化，利于对各类数据变化的监测。2、气象仪数据监测种类多达14种，包含风向、1分钟风速、5分钟最高风速温度、1小时降雨量、湿度、气压、光照度、二氧化碳、甲醛、PM2.5、TVOC、PM10等14种数据类型，能够满足多种监测需求。3、各类传感器所监测到的数据能够以坐标轴图像的形式显示出来，图像可以通过鼠标滚轮或图像下面的滚轴来放大缩小，图像可通过鼠标或滚轴来进行左右拖动。4、各类传感器所监测到的数据分为实时数据和历史数据，实时数据能够自动保存到历史数据中，确保长时间气象监测的数据不会因意外因素而丢失。5</w:t>
            </w:r>
            <w:r>
              <w:rPr>
                <w:rFonts w:hint="eastAsia" w:ascii="宋体" w:hAnsi="宋体" w:eastAsia="宋体" w:cs="宋体"/>
                <w:i w:val="0"/>
                <w:iCs w:val="0"/>
                <w:color w:val="auto"/>
                <w:sz w:val="21"/>
                <w:szCs w:val="21"/>
                <w:highlight w:val="none"/>
                <w:u w:val="none"/>
                <w:lang w:val="en-US" w:eastAsia="zh-CN" w:bidi="ar"/>
              </w:rPr>
              <w:t xml:space="preserve">、在历史数据中，可以通过时间节选历史数据的某一段（即某年某月某日某时某分——某年某月某日某时某分）进行坐标轴图像显示。6、软件设置历史数据记录频率，可针对不同长度时间段的监测进行自由设置数据记录频率。7、各类传感器所监测到的数据可以以txt的形式导出到文件。并且可以将通过时间节选历史数据的某一段（即某年某月某日某时某分——某年某月某日某时某分）中的数据进行导出。导出数据可以在线查看，也可以下载到计算机查看。8、软件与硬件的数据传输方式为wifi传输，并且能够断线重连，确保在长时间的气象检测中不中断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工业</w:t>
            </w:r>
            <w:r/>
          </w:p>
        </w:tc>
      </w:tr>
      <w:tr>
        <w:trPr>
          <w:jc w:val="center"/>
          <w:trHeight w:val="499"/>
        </w:trPr>
        <w:tc>
          <w:tcPr>
            <w:gridSpan w:val="6"/>
            <w:tcW w:w="102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生物数字化探究仪器【学生端】</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9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W w:w="64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c>
          <w:tcPr>
            <w:tcW w:w="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6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所属行业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便携式数字化实验分析仪</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拥有不低于8GB内存+128GB内部存储，以及2.4G+5G双频WiFi。内置蓝牙不低于4.0版本，可与接有无线模块的传感器进行数据的无线传输。可支持多国语言。集成双USB-c、Micro HDMI、3.5MM耳机接口。系统搭设数字化实验软件，可配合传感器进行数字化实验。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数据采集器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USB供电、数据传输采用标准usb2.0通信协议；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单通道最高采样速率200ksps；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内置蓝牙为4.0版本，可与多个无线模块连接，进行数据传输；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采集器与采集器之间支持级联功能，扩展连接传感器的个数。</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数字化探究系统软件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1、软件风格和开放式设计，易用、好用；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2、内置智能动生电动势实验器、二维运动合成与分解、气象站、数字化摩擦力、化学污水智能处理系统等仪器控制软件；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3、血压、血氧、G-M、多功能健康监测仪等特殊传感器设置有专用界面；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4、自动识别传感器，可通过软件选择设定选择传感器的多个量程；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5、有中文、英文、俄语、越南语四种语言可以选择；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7、用户可根据需要自由设定常用工具的快捷按钮；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8、实验过程中可实现数据和图象的同时显示, 并有实时显示数据窗口，同一页面可以根据设定多图表和多表格显示（最多可支持12个）；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9、图象显示有自动滚屏和自动缩屏2种模式，在数据采集的同时可以对图象进行放大、缩小、拖拽等操作；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10、可自由设定采集数据的计算精确位数；可以自由插入文本列；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11、采集数据可以保存为历史组，实现与前面采集数据的对比；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12、实验结果可以WORD、EXCEL、BMP的形式导出、保存,也可以作为独立文件整体保存实验配置和结果；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13、内嵌电子实验报告模板功能，实验结果可直接自动导入到电子实验报告中；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14、实现智能设定最佳采样频率；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15、自动配置显示数据的表格、图表、数值仪器、表盘等多种数据显示方式；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16、通过计算列、积分、拟合（14种以上的拟合函数，并且函数可自定义系数）等功能，可以进行专业的实验数据分析；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17、软件可由老师按照实际的教学需要建立规范化的实验模板,可内置几百个物理、化学、生物学科的实验；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18、包含各种特殊符号插入公式的功能；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19、可自由设定多种图象点的样式和颜色；图象有点显示、连线显示、点连线三种显示功能；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20、实验前可预先添加计算公式，自动计算相关数据并显示图象。</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普通温度传感器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量程：-50℃ ～ +150℃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湿度传感器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量程：1%RH ～ 100%RH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分辨率：0.1%RH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 ～ 1300℃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可拆卸式温度探头，探头与传感器主体通过耳机接口连接。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光照度传感器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量程：0Lux～65535Lux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分辨率：1Lux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气体压强传感器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量程：0KPa ～ 700Kpa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分辨率：0.1KPa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pH值传感器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可拆卸式PH电极，电极与传感器主体通过BNC接口连接。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量程一：0μS/cm～20000μS/cm 分辨率：10μS/cm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量程二：0μS/cm～2000μS/cm  分辨率：1μS/cm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可拆卸式电导率电极，电极与传感器主体通过BNC接口连接。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氧气传感器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量程：0%～100%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分辨率：0.1%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电化学探头,无需填充液，数据传输端口为usb接口。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二氧化碳传感器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双量程传感器，可用于测量气体的体积浓度与质量浓度。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量程一：0ppm～50000ppm 分辨率：±50ppm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量程二：0g/m³～25g/m³分辨率：±0.025g/m³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拥有两种量程，软件选择量程，数据传输端口为USB接口。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支持与计算机的有线通讯、无线通讯和数显模块显示三种工作方式。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可测量空气中的二氧化碳浓度。</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传感器收纳箱及数据线套件</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数据线套件由一根usb type-c数据线及3根usb双公连接线组成。type-c数据线用于连接计算机与采集器之间的数据传输，usb双公连接线用于传感器与计算机或者采集器之间的数据传输。</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电磁搅拌器</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工作电源：220V  50HZ，工作尺寸：ф125mm；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调速范围： 0∽2400转/分， 最大容量： 1000ml；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可控转速，无极调速。可配合多功能连接配件、PH传感器、电导率传感器、离子传感器等使用，适用于中和滴定、溶液中电导率、离子浓度测量实验。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多用途密封塞</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4种规格密封塞，共五个，可配合二氧化碳传感器、氧气传感器、一氧化碳传感器、湿度传感器等传感器使用。可以与实验室器材配套使用，适用于测量气体浓度，湿度等实验。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光合作用探究实验器/呼吸作用探究实验器</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由圆柱形透明有机玻璃容器，可拆卸式底板，配套密封塞构成。底板含密封槽，容器顶部有三个气体传感器探测插槽。可配合氧气传感器、二氧化碳传感器、湿度传感器等使用，适用于探究影响光合作用的因素、呼吸作用等实验。</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传感器实验支架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固定底座，4根长度为140mm，直径为10mm的金属材质圆柱杆，硬质塑料架面，双排4孔，两个直径为28mm的圆孔。适用于实验中途临时搁置PH、电导率、氧气、氯离子、铵根离子等电极。</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多向转接头</w:t>
            </w:r>
            <w:r/>
          </w:p>
        </w:tc>
        <w:tc>
          <w:tcPr>
            <w:tcW w:w="646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铝合金材质多向棱形插口，配合各类传感器和辅材固定</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r>
        <w:trPr>
          <w:jc w:val="center"/>
          <w:trHeight w:val="499"/>
        </w:trPr>
        <w:tc>
          <w:tcPr>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tcW w:w="9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w:t>
            </w:r>
            <w:r/>
          </w:p>
        </w:tc>
        <w:tc>
          <w:tcPr>
            <w:tcW w:w="6464"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高中生化探究实验指导手册，内含40个高中化学探究实验和21个高中生物探究实验，共61个实验，有详细的实验步骤指导。适用于高中生化探究实验参考。</w:t>
            </w:r>
            <w:r/>
          </w:p>
        </w:tc>
        <w:tc>
          <w:tcPr>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W w:w="6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7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工业</w:t>
            </w:r>
            <w:r/>
          </w:p>
        </w:tc>
      </w:tr>
    </w:tbl>
    <w:p>
      <w:pPr>
        <w:ind w:right="0" w:firstLine="241"/>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注：货物需求清单明细表中所属行业为“/”的产品，中小企业声明函中无须列明。</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根据财政部令87号第31条：供应商提供相同品牌产品且通过资格审查、符合性审查的不同的投标人参加同一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562"/>
        <w:jc w:val="left"/>
        <w:keepLines w:val="0"/>
        <w:keepNext w:val="0"/>
        <w:pageBreakBefore w:val="0"/>
        <w:spacing w:line="490" w:lineRule="exact"/>
        <w:widowControl w:val="off"/>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核心产品：</w:t>
      </w:r>
      <w:r>
        <w:rPr>
          <w:rFonts w:hint="eastAsia" w:ascii="宋体" w:hAnsi="宋体" w:eastAsia="宋体" w:cs="宋体"/>
          <w:b/>
          <w:color w:val="auto"/>
          <w:sz w:val="24"/>
          <w:szCs w:val="24"/>
          <w:highlight w:val="none"/>
          <w:u w:val="single"/>
          <w:lang w:val="en-US" w:eastAsia="zh-CN"/>
        </w:rPr>
        <w:t xml:space="preserve"> 智能控制电气柜 </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、交付要求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日内完成供货、安装、调试、验收合格并交付使用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2.交货方式：现场验收。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3.交货地点</w:t>
      </w:r>
      <w:r>
        <w:rPr>
          <w:rFonts w:hint="eastAsia" w:ascii="宋体" w:hAnsi="宋体" w:eastAsia="宋体" w:cs="宋体"/>
          <w:color w:val="auto"/>
          <w:sz w:val="24"/>
          <w:szCs w:val="24"/>
          <w:highlight w:val="none"/>
          <w:lang w:eastAsia="zh-CN"/>
        </w:rPr>
        <w:t xml:space="preserve">：采购人指定地点。</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交货质量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投标人负责将货物运到采购人指定地点，由投标人负责办理运输、装卸和</w:t>
      </w:r>
      <w:r>
        <w:rPr>
          <w:rFonts w:hint="eastAsia" w:ascii="宋体" w:hAnsi="宋体" w:eastAsia="宋体" w:cs="宋体"/>
          <w:color w:val="auto"/>
          <w:sz w:val="24"/>
          <w:szCs w:val="24"/>
          <w:highlight w:val="none"/>
          <w:lang w:eastAsia="zh-CN"/>
        </w:rPr>
        <w:t xml:space="preserve">安装等，费用由投标人负责，由采购人组织验收，检验不合格或不符合质量要求，投标人除无条件退货外，还应承担采购人的一切损失。</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val="en-US" w:eastAsia="zh-CN"/>
        </w:rPr>
        <w:t xml:space="preserve">中标结果公告发布后</w:t>
      </w:r>
      <w:r>
        <w:rPr>
          <w:rFonts w:hint="eastAsia" w:ascii="宋体" w:hAnsi="宋体" w:eastAsia="宋体" w:cs="宋体"/>
          <w:b/>
          <w:bCs/>
          <w:color w:val="auto"/>
          <w:sz w:val="24"/>
          <w:szCs w:val="24"/>
          <w:highlight w:val="none"/>
          <w:lang w:val="en-US" w:eastAsia="zh-CN"/>
        </w:rPr>
        <w:t xml:space="preserve">三日内</w:t>
      </w:r>
      <w:r>
        <w:rPr>
          <w:rFonts w:hint="eastAsia" w:ascii="宋体" w:hAnsi="宋体" w:eastAsia="宋体" w:cs="宋体"/>
          <w:b/>
          <w:bCs/>
          <w:color w:val="auto"/>
          <w:sz w:val="24"/>
          <w:szCs w:val="24"/>
          <w:highlight w:val="none"/>
          <w:lang w:eastAsia="zh-CN"/>
        </w:rPr>
        <w:t xml:space="preserve">，须向采购人提供招标文件要求的所投产品检测</w:t>
      </w:r>
      <w:r>
        <w:rPr>
          <w:rFonts w:hint="eastAsia" w:ascii="宋体" w:hAnsi="宋体" w:eastAsia="宋体" w:cs="宋体"/>
          <w:b/>
          <w:bCs/>
          <w:color w:val="auto"/>
          <w:sz w:val="24"/>
          <w:szCs w:val="24"/>
          <w:highlight w:val="none"/>
          <w:lang w:val="en-US" w:eastAsia="zh-CN"/>
        </w:rPr>
        <w:t xml:space="preserve">检验</w:t>
      </w:r>
      <w:r>
        <w:rPr>
          <w:rFonts w:hint="eastAsia" w:ascii="宋体" w:hAnsi="宋体" w:eastAsia="宋体" w:cs="宋体"/>
          <w:b/>
          <w:bCs/>
          <w:color w:val="auto"/>
          <w:sz w:val="24"/>
          <w:szCs w:val="24"/>
          <w:highlight w:val="none"/>
          <w:lang w:eastAsia="zh-CN"/>
        </w:rPr>
        <w:t xml:space="preserve">报告原件供核查。若原件内容与投标文件中上传的扫描件不一致、无法提供原件或核查不合格的，视为提供虚假材料谋取中标，采购人有权取消其中标资格，并依法追究其相应责任。</w:t>
      </w:r>
      <w:r/>
    </w:p>
    <w:p>
      <w:pPr>
        <w:ind w:right="0" w:firstLine="482"/>
        <w:jc w:val="left"/>
        <w:keepLines w:val="0"/>
        <w:keepNext w:val="0"/>
        <w:pageBreakBefore w:val="0"/>
        <w:spacing w:line="49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验收时，投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right="0" w:firstLine="482"/>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1、安装实施过程中发生的一切安全问题均由投标人自行承担；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val="en-US" w:eastAsia="zh-CN"/>
        </w:rPr>
        <w:t xml:space="preserve">人必须安排人员参与安装实施，进场安装实施人员在本项目履约期间具有人身意外伤害险；在安装实施中要严格按行业规定进行安装实施，若出现任何安全事故，责任由投标人自行承担。</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3、投标人须把握项目进度、质量把控、产品验收、包装运输、指导安装、调试及验收等，有实验室设备安装、相关软件运行维护等经验，及时与采购人对接工作，指导项目团队成员认真完成每一项工作。</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培训要求</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2、制定完善的培训计划，需明确培训目标、培训对象、培训方式、培训地点、培训内容、培训记录等。培训所需要的费用已包含在预算金额中。</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4、培训对象：包括但不限于以下人员：系统业务应用人员、系统运行维护管理人员等。</w:t>
      </w:r>
      <w:r/>
    </w:p>
    <w:p>
      <w:pPr>
        <w:ind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5、培训方式：集中授课、现场应用操作指导等。</w:t>
      </w:r>
      <w:r/>
    </w:p>
    <w:p>
      <w:pPr>
        <w:ind w:right="0" w:firstLine="480"/>
        <w:jc w:val="left"/>
        <w:keepLines w:val="0"/>
        <w:keepNext w:val="0"/>
        <w:pageBreakBefore w:val="0"/>
        <w:spacing w:line="490" w:lineRule="exact"/>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6、培训内容：由专业资深工程师、专业资格人员和行业专家进行培训，内容包含但不限于系统总体情况进行介绍、应用操作、常见故障分析、系统维护工作等。</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、履约验收要求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1、招标人以招标文件、中标人的投标文件、承诺、合同为依据，成立验收小组，负责对项目进行全面的验收。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2、货物的验收包括：数量、外观、质量、性能、包装等；所有设备和附（配）件应符合其规定的性能，无瑕疵和缺陷，质量为合格产品。</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对质量问题负责包退、包换和包修，因此发生的费用由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自行负责。</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时，中标人须提供所投产品中涉及3C强制性认证、节能、节水、环境标志产品的有效认证证书，证书信息须与所投产品一致。无法提供或证书无效、不符合国家强制性标准及政府采购政策要求的，视为验收不合格，采购人不予验收、不予付款。</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、货物到达招标人指定地点并安装、调试工作完成后，通知招标人，由招标人根据相关部门规定的验收方案，严格按照有关要求及标准，对整个项目进行验收；交付使用时要同时向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提供详细的技术文件、调试报告、安装记录、原厂保修卡、随机资料及配件。</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软件系统平台验收要求：相关软件系统平台部署完成后，提供软件使用说明书并组织相关培训，软件系统平台自交付起12个月内，完成功能性、兼容性、稳定性验收，形成应收意见，验收书双方共同签署。对于不满足要求的，提出整改，于整改完成后再重新进行验收，直至符合招标文件要求。</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按合同约定履约完成全部项目，并满足使用要求，须及时向</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人或合同签订的甲方提交验收申请。合同签订的甲方（使用者）须进行初步验收，完全达到符合采购合同约定的验收条件时，再向验收小组申请正式验收。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须提交规范供货承诺书、合同签订的甲方（使用者）须向验收组提交规范验货承诺书。</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、售后服务要求</w:t>
      </w:r>
      <w:r/>
    </w:p>
    <w:p>
      <w:pPr>
        <w:ind w:left="0" w:right="0" w:firstLine="480"/>
        <w:jc w:val="left"/>
        <w:keepLines w:val="0"/>
        <w:keepNext w:val="0"/>
        <w:pageBreakBefore w:val="0"/>
        <w:spacing w:line="49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★质保期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以验收合格之日起计算</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对由于所供货物本身质量的原因引起的问题由中标人负责维修，如因设备质量或机件故障不能正常工作需要维修的，所有因维修（包括更换设备）产生的费用由中标人负责；对于采购方人为原因造成的故障，中标人只收取维保成本费用。</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为保证设备的正常运行，如果所供货物出现不能修复的故障时，中标人应在接到采购人通知后24小时内赶到现场进行检测维修。如设备故障在七个工作日未能维修好，中标人须提供同型号的设备供采购人使用，直至设备维修好后方才取回。如不能维修，则中标人负责更换。</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质保期内，中标人需对应用软件进行实时更新升级。</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、投标报价要求</w:t>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2、报价应包含与本次采购项目有关的所有费用。包含但不限于人员费用、全部硬件设备、</w:t>
      </w:r>
      <w:r>
        <w:rPr>
          <w:rFonts w:hint="eastAsia" w:ascii="宋体" w:hAnsi="宋体" w:eastAsia="宋体" w:cs="宋体"/>
          <w:color w:val="auto"/>
          <w:sz w:val="24"/>
          <w:szCs w:val="24"/>
          <w:highlight w:val="none"/>
          <w:lang w:val="en-US" w:eastAsia="zh-CN"/>
        </w:rPr>
        <w:t xml:space="preserve">软件系统安装、</w:t>
      </w:r>
      <w:r>
        <w:rPr>
          <w:rFonts w:hint="eastAsia" w:ascii="宋体" w:hAnsi="宋体" w:eastAsia="宋体" w:cs="宋体"/>
          <w:color w:val="auto"/>
          <w:sz w:val="24"/>
          <w:szCs w:val="24"/>
          <w:highlight w:val="none"/>
        </w:rPr>
        <w:t xml:space="preserve">辅助材料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备品、备件、机械、运输、现场安装调试、</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培训、管理、维护、利润、</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税金、保险、售后服务、政策性文件规定及合同包含的所有风险、责任等所有含税费用。同时，还应包含支付给员工的工资和国家强制缴纳的各种社会保障资金，以及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认为需要的其他费用等；</w:t>
      </w:r>
      <w:r>
        <w:rPr>
          <w:rFonts w:hint="eastAsia" w:ascii="宋体" w:hAnsi="宋体" w:eastAsia="宋体" w:cs="宋体"/>
          <w:color w:val="auto"/>
          <w:sz w:val="24"/>
          <w:szCs w:val="24"/>
          <w:highlight w:val="none"/>
          <w:lang w:val="en-US" w:eastAsia="zh-CN"/>
        </w:rPr>
        <w:t xml:space="preserve">总价作为定标的依据，各项综合单价作为据实结算的依据。</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的任何错漏、优惠、竞争性报价不得作为减轻责任、减少服务、增加收费、降低服务质量的理由；</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报价除包含</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文件中列明的项目外还应包括保障服务正常运行应当具有的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和服务，对服务正常运行应当具有的</w:t>
      </w:r>
      <w:r>
        <w:rPr>
          <w:rFonts w:hint="eastAsia" w:ascii="宋体" w:hAnsi="宋体" w:eastAsia="宋体" w:cs="宋体"/>
          <w:color w:val="auto"/>
          <w:sz w:val="24"/>
          <w:szCs w:val="24"/>
          <w:highlight w:val="none"/>
          <w:lang w:eastAsia="zh-CN"/>
        </w:rPr>
        <w:t xml:space="preserve">备件</w:t>
      </w:r>
      <w:r>
        <w:rPr>
          <w:rFonts w:hint="eastAsia" w:ascii="宋体" w:hAnsi="宋体" w:eastAsia="宋体" w:cs="宋体"/>
          <w:color w:val="auto"/>
          <w:sz w:val="24"/>
          <w:szCs w:val="24"/>
          <w:highlight w:val="none"/>
        </w:rPr>
        <w:t xml:space="preserve">和服务理解不一致的以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理解为准。</w:t>
      </w:r>
      <w:r/>
    </w:p>
    <w:p>
      <w:pPr>
        <w:ind w:right="0"/>
        <w:jc w:val="left"/>
        <w:keepLines w:val="0"/>
        <w:keepNext w:val="0"/>
        <w:pageBreakBefore w:val="0"/>
        <w:spacing w:line="49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、付款方式</w:t>
      </w:r>
      <w:r>
        <w:rPr>
          <w:rFonts w:hint="eastAsia" w:ascii="宋体" w:hAnsi="宋体" w:eastAsia="宋体" w:cs="宋体"/>
          <w:b/>
          <w:color w:val="auto"/>
          <w:sz w:val="24"/>
          <w:szCs w:val="24"/>
          <w:highlight w:val="none"/>
          <w:lang w:eastAsia="zh-CN"/>
        </w:rPr>
        <w:t xml:space="preserve">及履约保证金</w:t>
      </w:r>
      <w:r/>
    </w:p>
    <w:p>
      <w:pPr>
        <w:pStyle w:val="788"/>
        <w:ind w:right="0" w:firstLine="480"/>
        <w:jc w:val="left"/>
        <w:keepLines w:val="0"/>
        <w:keepNext w:val="0"/>
        <w:pageBreakBefore w:val="0"/>
        <w:spacing w:line="480" w:lineRule="exact"/>
        <w:shd w:val="clear" w:color="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eastAsia="zh-CN"/>
        </w:rPr>
        <w:t xml:space="preserve">）付款方式</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合同签订后30日内，支付合同价款的10%作为预付款；全部采购货物送至指定地点后支付至合同价款的50%，全部安装调试完成且经验收合格后一次性付清。（无息）</w:t>
      </w:r>
      <w:r/>
    </w:p>
    <w:p>
      <w:pPr>
        <w:ind w:left="0" w:right="0" w:firstLine="562"/>
        <w:jc w:val="left"/>
        <w:keepLines w:val="0"/>
        <w:keepNext w:val="0"/>
        <w:pageBreakBefore w:val="0"/>
        <w:spacing w:line="49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1.履约保证金的金额：中标价的10%。</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3.履约保证金提交时间：合同签订前提交履约保证金。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4.履约保证金的退还：完成合同范围内的所有内容，并经验收合格后，采购人退还投标人履约保证金。</w:t>
      </w:r>
      <w:r/>
    </w:p>
    <w:p>
      <w:pPr>
        <w:ind w:left="0" w:right="0" w:firstLine="562"/>
        <w:jc w:val="left"/>
        <w:keepLines w:val="0"/>
        <w:keepNext w:val="0"/>
        <w:pageBreakBefore w:val="0"/>
        <w:spacing w:line="49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不予退还的情形：投标人不履行合同，履约保证金不予退还。投标人违约的，采购人将按照招标文件及合同约定扣除其全部或部分履约保证金。如投标人违约给采购人造成的损失超过履约保证金的，应当依法赔偿超过部分的损失。</w:t>
      </w:r>
      <w:r/>
    </w:p>
    <w:p>
      <w:pPr>
        <w:ind w:right="0"/>
        <w:jc w:val="left"/>
        <w:keepLines w:val="0"/>
        <w:keepNext w:val="0"/>
        <w:pageBreakBefore w:val="0"/>
        <w:spacing w:line="49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bookmarkEnd w:id="23"/>
      <w:r/>
      <w:bookmarkEnd w:id="24"/>
      <w:r/>
      <w:r/>
    </w:p>
    <w:p>
      <w:pPr>
        <w:ind w:left="0" w:right="0" w:firstLine="480"/>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特别提醒投标人：应根据国家收费标准并结合市场实际进行报价。</w:t>
      </w:r>
      <w:r/>
    </w:p>
    <w:p>
      <w:pPr>
        <w:ind w:left="0" w:right="0" w:firstLine="480"/>
        <w:jc w:val="left"/>
        <w:keepLines w:val="0"/>
        <w:keepNext w:val="0"/>
        <w:pageBreakBefore w:val="0"/>
        <w:spacing w:line="49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应严格执行保密的相关规定，不得以任何方式向任何第三人披露、泄露或许可第三人使用，否则追究其相应法律责任。</w:t>
      </w:r>
      <w:r/>
    </w:p>
    <w:p>
      <w:pPr>
        <w:ind w:left="0" w:right="0"/>
        <w:jc w:val="left"/>
        <w:pageBreakBefore w:val="0"/>
        <w:spacing w:line="49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31"/>
        <w:ind w:left="0" w:right="0"/>
        <w:jc w:val="center"/>
        <w:pageBreakBefore w:val="0"/>
        <w:spacing w:before="0" w:after="0" w:line="360" w:lineRule="auto"/>
        <w:widowControl w:val="off"/>
        <w:rPr>
          <w:rFonts w:hint="eastAsia" w:ascii="宋体" w:hAnsi="宋体" w:eastAsia="宋体" w:cs="宋体"/>
          <w:b w:val="0"/>
          <w:color w:val="auto"/>
          <w:highlight w:val="none"/>
        </w:rPr>
      </w:pPr>
      <w:r/>
      <w:bookmarkStart w:id="27" w:name="_Toc155796360"/>
      <w:r>
        <w:rPr>
          <w:rFonts w:hint="eastAsia" w:ascii="宋体" w:hAnsi="宋体" w:eastAsia="宋体" w:cs="宋体"/>
          <w:b w:val="0"/>
          <w:color w:val="auto"/>
          <w:highlight w:val="none"/>
        </w:rPr>
        <w:t xml:space="preserve">第五章  评标方法与评标标准</w:t>
      </w:r>
      <w:bookmarkEnd w:id="27"/>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lang w:eastAsia="zh-CN"/>
        </w:rPr>
        <w:t xml:space="preserve">由</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eastAsia="宋体" w:cs="宋体"/>
          <w:color w:val="auto"/>
          <w:sz w:val="24"/>
          <w:szCs w:val="24"/>
          <w:highlight w:val="none"/>
          <w:u w:val="none"/>
          <w:lang w:eastAsia="zh-CN"/>
        </w:rPr>
        <w:t xml:space="preserve">代表随机抽取确定排序</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。投标文件满足招标文件全部实质性要求，且按照评审因素的量化指标评审得分最高的投标人为中标候选人。</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left="0" w:right="0" w:firstLine="480"/>
        <w:jc w:val="left"/>
        <w:pageBreakBefore w:val="0"/>
        <w:spacing w:line="49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left="0" w:right="0"/>
        <w:jc w:val="center"/>
        <w:pageBreakBefore w:val="0"/>
        <w:spacing w:line="49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（2）技术分（</w:t>
      </w: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分）</w:t>
      </w:r>
      <w:r/>
    </w:p>
    <w:tbl>
      <w:tblPr>
        <w:tblStyle w:val="741"/>
        <w:tblW w:w="89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960"/>
      </w:tblGrid>
      <w:tr>
        <w:trPr>
          <w:jc w:val="center"/>
          <w:trHeight w:val="368"/>
        </w:trPr>
        <w:tc>
          <w:tcPr>
            <w:tcW w:w="1965"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96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281"/>
        </w:trPr>
        <w:tc>
          <w:tcPr>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eastAsia="zh-CN"/>
              </w:rPr>
              <w:t xml:space="preserve">）</w:t>
            </w:r>
            <w:r/>
          </w:p>
        </w:tc>
        <w:tc>
          <w:tcPr>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投标人所投产品对货物需求清单中技术参数及要求进行响应，完全满足招标文件技术要求的，得30分；</w:t>
            </w:r>
            <w:r>
              <w:rPr>
                <w:rFonts w:hint="eastAsia" w:ascii="宋体" w:hAnsi="宋体" w:eastAsia="宋体" w:cs="宋体"/>
                <w:color w:val="auto"/>
                <w:sz w:val="24"/>
                <w:szCs w:val="24"/>
                <w:highlight w:val="none"/>
              </w:rPr>
              <w:t xml:space="preserve">标▲部分为重要技术参数，要求提供证明材料的投标文件中每缺少一项证明材料或每有一项负偏离扣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分，本项扣完为止。投标人必须提供技术偏差表，不提供本项不得分。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注：根据投标人提供的技术偏离表、标注“▲”的指标必须提供相应的有效证明材料，以证明技术参数及功能的有效性，</w:t>
            </w:r>
            <w:r>
              <w:rPr>
                <w:rFonts w:hint="eastAsia" w:ascii="宋体" w:hAnsi="宋体" w:eastAsia="宋体" w:cs="宋体"/>
                <w:color w:val="auto"/>
                <w:sz w:val="24"/>
                <w:szCs w:val="24"/>
                <w:highlight w:val="none"/>
                <w:lang w:val="en-GB" w:eastAsia="zh-CN"/>
              </w:rPr>
              <w:t xml:space="preserve">并标明证明材料在投标文件中的具体位置并做明显标识，便于评审，</w:t>
            </w:r>
            <w:r>
              <w:rPr>
                <w:rFonts w:hint="eastAsia" w:ascii="宋体" w:hAnsi="宋体" w:eastAsia="宋体" w:cs="宋体"/>
                <w:color w:val="auto"/>
                <w:sz w:val="24"/>
                <w:szCs w:val="24"/>
                <w:highlight w:val="none"/>
              </w:rPr>
              <w:t xml:space="preserve">投标人需如实填写偏离表，需提供相应证明材料并加盖投标人公章扫描件上传至电子投标文件中，否则不得分。</w:t>
            </w:r>
            <w:r/>
          </w:p>
        </w:tc>
      </w:tr>
      <w:tr>
        <w:trPr>
          <w:jc w:val="center"/>
          <w:trHeight w:val="978"/>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项目整体实施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方案</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根据投标人提供的项目整体实施方案，内容包含但不限于“</w:t>
            </w:r>
            <w:r>
              <w:rPr>
                <w:rFonts w:hint="eastAsia" w:asciiTheme="minorEastAsia" w:hAnsiTheme="minorEastAsia" w:eastAsiaTheme="minorEastAsia" w:cstheme="minorEastAsia"/>
                <w:color w:val="auto"/>
                <w:sz w:val="24"/>
                <w:szCs w:val="24"/>
                <w:highlight w:val="none"/>
                <w:lang w:val="zh-CN" w:eastAsia="zh-CN"/>
              </w:rPr>
              <w:t xml:space="preserve">物理吊装实验室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生物吊装实验室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物理电学</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化学上通风</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生物综合</w:t>
            </w:r>
            <w:r>
              <w:rPr>
                <w:rFonts w:hint="eastAsia" w:asciiTheme="minorEastAsia" w:hAnsiTheme="minorEastAsia" w:eastAsiaTheme="minorEastAsia" w:cstheme="minorEastAsia"/>
                <w:color w:val="auto"/>
                <w:sz w:val="24"/>
                <w:szCs w:val="24"/>
                <w:highlight w:val="none"/>
                <w:lang w:val="zh-CN" w:eastAsia="zh-CN"/>
              </w:rPr>
              <w:t xml:space="preserve">实验室</w:t>
            </w:r>
            <w:r>
              <w:rPr>
                <w:rFonts w:hint="eastAsia" w:ascii="宋体" w:hAnsi="宋体" w:eastAsia="宋体" w:cs="宋体"/>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等每间实验室</w:t>
            </w:r>
            <w:r>
              <w:rPr>
                <w:rFonts w:hint="eastAsia" w:asciiTheme="minorEastAsia" w:hAnsiTheme="minorEastAsia" w:eastAsiaTheme="minorEastAsia" w:cstheme="minorEastAsia"/>
                <w:color w:val="auto"/>
                <w:sz w:val="24"/>
                <w:szCs w:val="24"/>
                <w:highlight w:val="none"/>
                <w:lang w:val="zh-CN" w:eastAsia="zh-CN"/>
              </w:rPr>
              <w:t xml:space="preserve">进行深化设计</w:t>
            </w:r>
            <w:r>
              <w:rPr>
                <w:rFonts w:hint="eastAsia" w:asciiTheme="minorEastAsia" w:hAnsiTheme="minorEastAsia" w:cstheme="minorEastAsia"/>
                <w:color w:val="auto"/>
                <w:sz w:val="24"/>
                <w:szCs w:val="24"/>
                <w:highlight w:val="none"/>
                <w:lang w:val="zh-CN" w:eastAsia="zh-CN"/>
              </w:rPr>
              <w:t xml:space="preserve">（深化设计方案需</w:t>
            </w:r>
            <w:r>
              <w:rPr>
                <w:rFonts w:hint="eastAsia" w:asciiTheme="minorEastAsia" w:hAnsiTheme="minorEastAsia" w:eastAsiaTheme="minorEastAsia" w:cstheme="minorEastAsia"/>
                <w:color w:val="auto"/>
                <w:sz w:val="24"/>
                <w:szCs w:val="24"/>
                <w:highlight w:val="none"/>
                <w:lang w:val="zh-CN" w:eastAsia="zh-CN"/>
              </w:rPr>
              <w:t xml:space="preserve">提供完整的平面布置图、施工图与</w:t>
            </w:r>
            <w:r>
              <w:rPr>
                <w:rFonts w:hint="eastAsia" w:asciiTheme="minorEastAsia" w:hAnsiTheme="minorEastAsia" w:cstheme="minorEastAsia"/>
                <w:color w:val="auto"/>
                <w:sz w:val="24"/>
                <w:szCs w:val="24"/>
                <w:highlight w:val="none"/>
                <w:lang w:val="zh-CN" w:eastAsia="zh-CN"/>
              </w:rPr>
              <w:t xml:space="preserve">至少三张以上</w:t>
            </w:r>
            <w:r>
              <w:rPr>
                <w:rFonts w:hint="eastAsia" w:asciiTheme="minorEastAsia" w:hAnsiTheme="minorEastAsia" w:eastAsiaTheme="minorEastAsia" w:cstheme="minorEastAsia"/>
                <w:color w:val="auto"/>
                <w:sz w:val="24"/>
                <w:szCs w:val="24"/>
                <w:highlight w:val="none"/>
                <w:lang w:val="zh-CN" w:eastAsia="zh-CN"/>
              </w:rPr>
              <w:t xml:space="preserve">不同角度</w:t>
            </w:r>
            <w:r>
              <w:rPr>
                <w:rFonts w:hint="eastAsia" w:asciiTheme="minorEastAsia" w:hAnsiTheme="minorEastAsia" w:cstheme="minorEastAsia"/>
                <w:color w:val="auto"/>
                <w:sz w:val="24"/>
                <w:szCs w:val="24"/>
                <w:highlight w:val="none"/>
                <w:lang w:val="zh-CN" w:eastAsia="zh-CN"/>
              </w:rPr>
              <w:t xml:space="preserve">的</w:t>
            </w:r>
            <w:r>
              <w:rPr>
                <w:rFonts w:hint="eastAsia" w:asciiTheme="minorEastAsia" w:hAnsiTheme="minorEastAsia" w:eastAsiaTheme="minorEastAsia" w:cstheme="minorEastAsia"/>
                <w:color w:val="auto"/>
                <w:sz w:val="24"/>
                <w:szCs w:val="24"/>
                <w:highlight w:val="none"/>
                <w:lang w:val="zh-CN" w:eastAsia="zh-CN"/>
              </w:rPr>
              <w:t xml:space="preserve">效果图）</w:t>
            </w:r>
            <w:r>
              <w:rPr>
                <w:rFonts w:hint="eastAsia" w:ascii="宋体" w:hAnsi="宋体" w:eastAsia="宋体" w:cs="宋体"/>
                <w:color w:val="auto"/>
                <w:sz w:val="24"/>
                <w:szCs w:val="24"/>
                <w:highlight w:val="none"/>
                <w:lang w:val="en-US" w:eastAsia="zh-CN"/>
              </w:rPr>
              <w:t xml:space="preserve">、项目设备采购及安装调试方案、实施工作内容的重难点进行分析并制定出相应的措施等。</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eastAsia="zh-CN"/>
              </w:rPr>
              <w:t xml:space="preserve">深化设计方案完整、规划合理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采购及安装调试方案完善，实施工作内容的重难点分析全面，能够保质保量完成任务的得8分；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完整、规划</w:t>
            </w:r>
            <w:r>
              <w:rPr>
                <w:rFonts w:hint="eastAsia" w:asciiTheme="minorEastAsia" w:hAnsiTheme="minorEastAsia" w:cstheme="minorEastAsia"/>
                <w:color w:val="auto"/>
                <w:sz w:val="24"/>
                <w:szCs w:val="24"/>
                <w:highlight w:val="none"/>
                <w:lang w:val="en-US" w:eastAsia="zh-CN"/>
              </w:rPr>
              <w:t xml:space="preserve">较</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Theme="minorEastAsia" w:hAnsiTheme="minorEastAsia" w:cstheme="minorEastAsia"/>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采购及安装调试方案较完善，实施工作内容的重难点分析较全面，较能够保质保量完成任务的得5分；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基本完善，</w:t>
            </w:r>
            <w:r>
              <w:rPr>
                <w:rFonts w:hint="eastAsia" w:asciiTheme="minorEastAsia" w:hAnsiTheme="minorEastAsia" w:eastAsiaTheme="minorEastAsia" w:cstheme="minorEastAsia"/>
                <w:color w:val="auto"/>
                <w:sz w:val="24"/>
                <w:szCs w:val="24"/>
                <w:highlight w:val="none"/>
                <w:lang w:val="zh-CN" w:eastAsia="zh-CN"/>
              </w:rPr>
              <w:t xml:space="preserve">规划</w:t>
            </w:r>
            <w:r>
              <w:rPr>
                <w:rFonts w:hint="eastAsia" w:asciiTheme="minorEastAsia" w:hAnsiTheme="minorEastAsia" w:cstheme="minorEastAsia"/>
                <w:color w:val="auto"/>
                <w:sz w:val="24"/>
                <w:szCs w:val="24"/>
                <w:highlight w:val="none"/>
                <w:lang w:val="en-US" w:eastAsia="zh-CN"/>
              </w:rPr>
              <w:t xml:space="preserve">基本</w:t>
            </w:r>
            <w:r>
              <w:rPr>
                <w:rFonts w:hint="eastAsia" w:asciiTheme="minorEastAsia" w:hAnsiTheme="minorEastAsia" w:eastAsiaTheme="minorEastAsia" w:cstheme="minorEastAsia"/>
                <w:color w:val="auto"/>
                <w:sz w:val="24"/>
                <w:szCs w:val="24"/>
                <w:highlight w:val="none"/>
                <w:lang w:val="zh-CN" w:eastAsia="zh-CN"/>
              </w:rPr>
              <w:t xml:space="preserve">合理</w:t>
            </w:r>
            <w:r>
              <w:rPr>
                <w:rFonts w:hint="eastAsia" w:ascii="宋体" w:hAnsi="宋体" w:eastAsia="宋体" w:cs="宋体"/>
                <w:color w:val="auto"/>
                <w:sz w:val="24"/>
                <w:szCs w:val="24"/>
                <w:highlight w:val="none"/>
                <w:lang w:val="en-US" w:eastAsia="zh-CN"/>
              </w:rPr>
              <w:t xml:space="preserve">，采购及安装调试方案基本齐全，实施工作内容的重难点分析基本完善，供货保证措施可行，能够保质保量完成任务的得3分；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zh-CN" w:eastAsia="zh-CN"/>
              </w:rPr>
              <w:t xml:space="preserve">深化设计方案</w:t>
            </w:r>
            <w:r>
              <w:rPr>
                <w:rFonts w:hint="eastAsia" w:asciiTheme="minorEastAsia" w:hAnsiTheme="minorEastAsia" w:cstheme="minorEastAsia"/>
                <w:color w:val="auto"/>
                <w:sz w:val="24"/>
                <w:szCs w:val="24"/>
                <w:highlight w:val="none"/>
                <w:lang w:val="en-US" w:eastAsia="zh-CN"/>
              </w:rPr>
              <w:t xml:space="preserve">合理性欠缺，</w:t>
            </w:r>
            <w:r>
              <w:rPr>
                <w:rFonts w:hint="eastAsia" w:ascii="宋体" w:hAnsi="宋体" w:eastAsia="宋体" w:cs="宋体"/>
                <w:color w:val="auto"/>
                <w:sz w:val="24"/>
                <w:szCs w:val="24"/>
                <w:highlight w:val="none"/>
                <w:lang w:val="en-US" w:eastAsia="zh-CN"/>
              </w:rPr>
              <w:t xml:space="preserve">采购及安装调试方案可行性一般，实施工作内容的重难点分析欠缺，供货保证措施基本可行，能够保质保量完成任务的得1分；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281"/>
        </w:trPr>
        <w:tc>
          <w:tcPr>
            <w:tcBorders>
              <w:bottom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质量保证措施</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(8分)</w:t>
            </w:r>
            <w:r/>
          </w:p>
        </w:tc>
        <w:tc>
          <w:tcPr>
            <w:tcBorders>
              <w:bottom w:val="single" w:color="auto" w:sz="4" w:space="0"/>
            </w:tcBorders>
            <w:tcW w:w="6960" w:type="dxa"/>
            <w:vAlign w:val="top"/>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根据投标人提供的项目质量保证措施，内容包含但不限于质量保证措施、详细具体的技术培训计划等内容：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（1）有科学健全的质量保证措施、详细具体的技术培训计划，且内容特别契合本项目实际，能突出重点培训内容的得8分；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（2）质量保证措施较科学健全、较详细具体的技术培训计划，且内容较契合本项目实际，能突出重点培训内容的得5分；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（3）质量保证措施但措施科学合理性一般、有技术培训计划但内容不够周密具体的得3分；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（4）质量保证措施及技术培训计划过于简单的得1分；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bottom w:val="single" w:color="auto" w:sz="4" w:space="0"/>
            </w:tcBorders>
            <w:tcW w:w="1965"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进度计划和各阶段进度的保证措施</w:t>
            </w:r>
            <w:r>
              <w:rPr>
                <w:rFonts w:hint="eastAsia" w:ascii="宋体" w:hAnsi="宋体" w:eastAsia="宋体" w:cs="宋体"/>
                <w:color w:val="auto"/>
                <w:sz w:val="24"/>
                <w:szCs w:val="24"/>
                <w:highlight w:val="none"/>
                <w:lang w:val="en-US" w:eastAsia="zh-CN"/>
              </w:rPr>
              <w:t xml:space="preserve">（8分）</w:t>
            </w:r>
            <w:r/>
          </w:p>
        </w:tc>
        <w:tc>
          <w:tcPr>
            <w:tcBorders>
              <w:bottom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根据投标人提供的进度计划和各阶段进度的保证措施进行综合评审。</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（1）项目进度计划完整，各阶段进度的保证措施清晰准确可行的得8分；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（2）项目进度计划较完整，各阶段进度的保证措施较清晰准确可行的得5分；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（3）项目进度计划合理性一般，各阶段进度的保证措施不够清晰准确的得3分；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（4）进度计划和各阶段进度的保证措施过于简单的，可行性一般的得1分；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w:t>
            </w:r>
            <w:r/>
          </w:p>
        </w:tc>
      </w:tr>
      <w:tr>
        <w:trPr>
          <w:jc w:val="center"/>
          <w:trHeight w:val="281"/>
        </w:trPr>
        <w:tc>
          <w:tcPr>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投标人提供的售后服务方案，方案内容包含但不限于解决质量或操作问题的形式、维修时间、地点、人员、服务方案周密性等内容：</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（1）方案内容全面，有针对性，科学合理，组织保障有力，操作性强的得7分；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（2）方案内容较全面，较有针对性，较科学合理，组织保障较有力，操作性较强的得5分；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（3）方案内容完整性针对性一般，组织保障基本涵盖，操作性强得3分；</w:t>
            </w:r>
            <w:r/>
          </w:p>
          <w:p>
            <w:pPr>
              <w:ind w:right="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（4）方案内容有缺项，针对性一般，内容简单，组织保障一般，操作性一般的得1分；</w:t>
            </w:r>
            <w:r/>
          </w:p>
          <w:p>
            <w:pPr>
              <w:ind w:right="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（5）未见阐述不得分。 </w:t>
            </w:r>
            <w:r/>
          </w:p>
        </w:tc>
      </w:tr>
      <w:tr>
        <w:trPr>
          <w:jc w:val="center"/>
          <w:trHeight w:val="621"/>
        </w:trPr>
        <w:tc>
          <w:tcPr>
            <w:gridSpan w:val="2"/>
            <w:tcBorders>
              <w:top w:val="single" w:color="auto" w:sz="4" w:space="0"/>
              <w:left w:val="none" w:color="000000" w:sz="4" w:space="0"/>
              <w:bottom w:val="single" w:color="auto" w:sz="4" w:space="0"/>
              <w:right w:val="none" w:color="000000" w:sz="4" w:space="0"/>
            </w:tcBorders>
            <w:tcW w:w="8925"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（3）商务分（9分）</w:t>
            </w:r>
            <w:r/>
          </w:p>
        </w:tc>
      </w:tr>
      <w:tr>
        <w:trPr>
          <w:jc w:val="center"/>
          <w:trHeight w:val="621"/>
        </w:trPr>
        <w:tc>
          <w:tcPr>
            <w:shd w:val="clear" w:color="auto" w:fill="auto"/>
            <w:tcBorders>
              <w:top w:val="single" w:color="auto" w:sz="4" w:space="0"/>
              <w:left w:val="single" w:color="auto" w:sz="4" w:space="0"/>
              <w:bottom w:val="single" w:color="auto" w:sz="4" w:space="0"/>
              <w:right w:val="single" w:color="auto" w:sz="4" w:space="0"/>
            </w:tcBorders>
            <w:tcW w:w="1965" w:type="dxa"/>
            <w:vAlign w:val="center"/>
            <w:textDirection w:val="lrTb"/>
            <w:noWrap/>
          </w:tcPr>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类似业绩</w:t>
            </w:r>
            <w:r/>
          </w:p>
          <w:p>
            <w:pPr>
              <w:ind w:firstLine="0"/>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60" w:type="dxa"/>
            <w:vAlign w:val="center"/>
            <w:textDirection w:val="lrTb"/>
            <w:noWrap/>
          </w:tcPr>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自202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年1月1日以来</w:t>
            </w:r>
            <w:r>
              <w:rPr>
                <w:rFonts w:hint="eastAsia" w:ascii="宋体" w:hAnsi="宋体" w:eastAsia="宋体" w:cs="宋体"/>
                <w:b w:val="0"/>
                <w:bCs w:val="0"/>
                <w:color w:val="auto"/>
                <w:sz w:val="24"/>
                <w:szCs w:val="24"/>
                <w:highlight w:val="none"/>
                <w:lang w:eastAsia="zh-CN"/>
              </w:rPr>
              <w:t xml:space="preserve">（时间以合同签订时间为准）</w:t>
            </w: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szCs w:val="24"/>
                <w:highlight w:val="none"/>
                <w:lang w:val="en-US" w:eastAsia="zh-CN"/>
              </w:rPr>
              <w:t xml:space="preserve">承担过类似项目供货业绩的，每提供1个得3分，最高得9分。</w:t>
            </w:r>
            <w:r/>
          </w:p>
          <w:p>
            <w:pPr>
              <w:ind w:firstLine="0"/>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rPr>
              <w:t xml:space="preserve">提供合同原件</w:t>
            </w:r>
            <w:r>
              <w:rPr>
                <w:rFonts w:hint="eastAsia" w:ascii="宋体" w:hAnsi="宋体" w:eastAsia="宋体" w:cs="宋体"/>
                <w:b w:val="0"/>
                <w:bCs w:val="0"/>
                <w:color w:val="auto"/>
                <w:sz w:val="24"/>
                <w:szCs w:val="24"/>
                <w:highlight w:val="none"/>
                <w:lang w:eastAsia="zh-CN"/>
              </w:rPr>
              <w:t xml:space="preserve">彩色</w:t>
            </w:r>
            <w:r>
              <w:rPr>
                <w:rFonts w:hint="eastAsia" w:ascii="宋体" w:hAnsi="宋体" w:eastAsia="宋体" w:cs="宋体"/>
                <w:b w:val="0"/>
                <w:bCs w:val="0"/>
                <w:color w:val="auto"/>
                <w:sz w:val="24"/>
                <w:szCs w:val="24"/>
                <w:highlight w:val="none"/>
              </w:rPr>
              <w:t xml:space="preserve">扫描件</w:t>
            </w:r>
            <w:r>
              <w:rPr>
                <w:rFonts w:hint="eastAsia" w:ascii="宋体" w:hAnsi="宋体" w:eastAsia="宋体" w:cs="宋体"/>
                <w:b w:val="0"/>
                <w:bCs w:val="0"/>
                <w:color w:val="auto"/>
                <w:sz w:val="24"/>
                <w:szCs w:val="24"/>
                <w:highlight w:val="none"/>
                <w:lang w:val="en-US" w:eastAsia="zh-CN"/>
              </w:rPr>
              <w:t xml:space="preserve">上传至电子投标文件中</w:t>
            </w:r>
            <w:r>
              <w:rPr>
                <w:rFonts w:hint="eastAsia" w:ascii="宋体" w:hAnsi="宋体" w:eastAsia="宋体" w:cs="宋体"/>
                <w:b w:val="0"/>
                <w:bCs w:val="0"/>
                <w:color w:val="auto"/>
                <w:sz w:val="24"/>
                <w:szCs w:val="24"/>
                <w:highlight w:val="none"/>
              </w:rPr>
              <w:t xml:space="preserve">，合同的标的名称、</w:t>
            </w:r>
            <w:r>
              <w:rPr>
                <w:rFonts w:hint="eastAsia" w:ascii="宋体" w:hAnsi="宋体" w:eastAsia="宋体" w:cs="宋体"/>
                <w:b w:val="0"/>
                <w:bCs w:val="0"/>
                <w:color w:val="auto"/>
                <w:sz w:val="24"/>
                <w:szCs w:val="24"/>
                <w:highlight w:val="none"/>
                <w:lang w:eastAsia="zh-CN"/>
              </w:rPr>
              <w:t xml:space="preserve">内容、</w:t>
            </w:r>
            <w:r>
              <w:rPr>
                <w:rFonts w:hint="eastAsia" w:ascii="宋体" w:hAnsi="宋体" w:eastAsia="宋体" w:cs="宋体"/>
                <w:b w:val="0"/>
                <w:bCs w:val="0"/>
                <w:color w:val="auto"/>
                <w:sz w:val="24"/>
                <w:szCs w:val="24"/>
                <w:highlight w:val="none"/>
              </w:rPr>
              <w:t xml:space="preserve">签订时间等信息必须清晰，否则不得分。</w:t>
            </w:r>
            <w:r>
              <w:rPr>
                <w:rFonts w:hint="eastAsia" w:ascii="宋体" w:hAnsi="宋体" w:eastAsia="宋体" w:cs="宋体"/>
                <w:b w:val="0"/>
                <w:bCs w:val="0"/>
                <w:color w:val="auto"/>
                <w:sz w:val="24"/>
                <w:szCs w:val="24"/>
                <w:highlight w:val="none"/>
                <w:lang w:val="zh-CN"/>
              </w:rPr>
              <w:t xml:space="preserve">合同中产品</w:t>
            </w:r>
            <w:r>
              <w:rPr>
                <w:rFonts w:hint="eastAsia" w:ascii="宋体" w:hAnsi="宋体" w:eastAsia="宋体" w:cs="宋体"/>
                <w:b w:val="0"/>
                <w:bCs w:val="0"/>
                <w:color w:val="auto"/>
                <w:sz w:val="24"/>
                <w:szCs w:val="24"/>
                <w:highlight w:val="none"/>
              </w:rPr>
              <w:t xml:space="preserve">名称相同或类似，由评审委员会统一认定后给予得分。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31"/>
        <w:ind w:left="0" w:right="0"/>
        <w:jc w:val="center"/>
        <w:pageBreakBefore w:val="0"/>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center"/>
        <w:pageBreakBefore w:val="0"/>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right="0"/>
        <w:jc w:val="both"/>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jc w:val="center"/>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0" w:right="0" w:firstLine="1084"/>
        <w:pageBreakBefore w:val="0"/>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p>
    <w:p>
      <w:pPr>
        <w:ind w:left="0" w:right="0" w:firstLine="1084"/>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ind w:left="0" w:right="0"/>
        <w:pageBreakBefore w:val="0"/>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p>
    <w:p>
      <w:pPr>
        <w:ind w:left="0" w:right="0"/>
        <w:jc w:val="center"/>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三、依法缴纳税收和社会保障资金的相关材料</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jc w:val="center"/>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财务状况报告及税收、社会保障资金缴纳情况承诺函</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lang w:eastAsia="zh-CN"/>
        </w:rPr>
        <w:t xml:space="preserve">采购人</w:t>
      </w:r>
      <w:r>
        <w:rPr>
          <w:rFonts w:hint="eastAsia" w:ascii="宋体" w:hAnsi="宋体" w:eastAsia="宋体" w:cs="宋体"/>
          <w:i/>
          <w:color w:val="auto"/>
          <w:sz w:val="24"/>
          <w:szCs w:val="24"/>
          <w:highlight w:val="none"/>
          <w:u w:val="single"/>
        </w:rPr>
        <w:t xml:space="preserve">名称</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lang w:eastAsia="zh-CN"/>
        </w:rPr>
        <w:t xml:space="preserve">投标人</w:t>
      </w:r>
      <w:r>
        <w:rPr>
          <w:rFonts w:hint="eastAsia" w:ascii="宋体" w:hAnsi="宋体" w:eastAsia="宋体" w:cs="宋体"/>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四、具备履行合同所必需的设备和专业技术能力的声明及证明材料</w:t>
      </w:r>
      <w:r/>
    </w:p>
    <w:p>
      <w:pPr>
        <w:ind w:left="0" w:right="0"/>
        <w:jc w:val="center"/>
        <w:pageBreakBefore w:val="0"/>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具备履行合同所必需的设备和专业技术能力的声明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。（须附证明材料）</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五、参加政府采购活动前3年内在经营活动中没有重大违法记录的书面声明</w:t>
      </w:r>
      <w:r/>
    </w:p>
    <w:p>
      <w:pPr>
        <w:ind w:left="0" w:right="0"/>
        <w:jc w:val="center"/>
        <w:pageBreakBefore w:val="0"/>
        <w:spacing w:line="360" w:lineRule="auto"/>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六、法律、行政法规规定的其他条件的证明文件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七、落实政府采购政策需满足的资格要求的证明文件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八、特定资格要求的证明文件</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color w:val="auto"/>
          <w:sz w:val="28"/>
          <w:szCs w:val="28"/>
          <w:highlight w:val="none"/>
          <w:u w:val="single"/>
        </w:rPr>
        <w:t xml:space="preserve">九、授权委托书与法定代表人（单位负责人）身份证明</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项目（项目编号：）投标文件和处理有关事宜，其法律后果由我方承担。</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left="0" w:righ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为事业单位或其他组织或分支机构（仅当招标文件注明允许分支机构投标的），则法定代表人（单位负责人）处的签署人可为单位负责人。</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left="0" w:right="0" w:firstLine="480"/>
        <w:jc w:val="left"/>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为自然人的情形，可不提供本《授权委托书》。</w:t>
      </w:r>
      <w:r/>
    </w:p>
    <w:p>
      <w:pPr>
        <w:ind w:left="0" w:right="0"/>
        <w:jc w:val="center"/>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ind w:left="0" w:right="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left="0" w:right="0"/>
        <w:pageBreakBefore w:val="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0" w:right="0"/>
              <w:jc w:val="left"/>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left="0" w:right="0"/>
        <w:pageBreakBefore w:val="0"/>
        <w:spacing w:line="360"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十、投标函</w:t>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ind w:left="0" w:right="0"/>
        <w:jc w:val="lef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我方将根据招标文件的规定，严格履行合同的责任和义务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并保证在招标文件规定的时间完成项目，交付买方验收、使用。</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十一、中小企业声明函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招标文件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十二、残疾人福利性单位声明函</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left="0" w:right="0" w:firstLine="480"/>
        <w:jc w:val="lef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left="0" w:right="0" w:firstLine="48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left="0" w:right="0" w:firstLine="28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left="0" w:right="0" w:firstLine="48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如实填写，所填内容须与投标分项报价表一致，如填写不完整或不一致或填写有误，将不享受扶持政策。</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ind w:left="0" w:right="0"/>
        <w:jc w:val="left"/>
        <w:keepLines/>
        <w:keepNext/>
        <w:pageBreakBefore w:val="0"/>
        <w:spacing w:line="360" w:lineRule="auto"/>
        <w:rPr>
          <w:rFonts w:hint="default" w:ascii="宋体" w:hAnsi="宋体" w:eastAsia="宋体" w:cs="宋体"/>
          <w:i/>
          <w:color w:val="auto"/>
          <w:sz w:val="28"/>
          <w:szCs w:val="28"/>
          <w:highlight w:val="none"/>
          <w:u w:val="single"/>
          <w:lang w:val="en-US" w:eastAsia="zh-CN"/>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三</w:t>
      </w:r>
      <w:r>
        <w:rPr>
          <w:rFonts w:hint="eastAsia" w:ascii="宋体" w:hAnsi="宋体" w:eastAsia="宋体" w:cs="宋体"/>
          <w:i/>
          <w:color w:val="auto"/>
          <w:sz w:val="28"/>
          <w:szCs w:val="28"/>
          <w:highlight w:val="none"/>
          <w:u w:val="single"/>
        </w:rPr>
        <w:t xml:space="preserve">、投标分项报价表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ind w:left="0"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rPr>
          <w:rFonts w:hint="eastAsia" w:ascii="宋体" w:hAnsi="宋体" w:eastAsia="宋体" w:cs="宋体"/>
          <w:color w:val="auto"/>
          <w:sz w:val="21"/>
          <w:szCs w:val="21"/>
          <w:highlight w:val="none"/>
          <w:lang w:val="en-US" w:eastAsia="zh-CN"/>
        </w:rPr>
        <w:t xml:space="preserve">   项目编号：                                  </w:t>
      </w:r>
      <w:r>
        <w:rPr>
          <w:rFonts w:hint="eastAsia" w:ascii="宋体" w:hAnsi="宋体" w:eastAsia="宋体" w:cs="宋体"/>
          <w:color w:val="auto"/>
          <w:sz w:val="21"/>
          <w:szCs w:val="21"/>
          <w:highlight w:val="none"/>
        </w:rPr>
        <w:t xml:space="preserve">单位：元</w:t>
      </w:r>
      <w:r/>
    </w:p>
    <w:tbl>
      <w:tblPr>
        <w:tblStyle w:val="74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w:t>
            </w:r>
            <w:r>
              <w:rPr>
                <w:rFonts w:hint="eastAsia" w:ascii="宋体" w:hAnsi="宋体" w:eastAsia="宋体" w:cs="宋体"/>
                <w:bCs/>
                <w:color w:val="auto"/>
                <w:szCs w:val="24"/>
                <w:highlight w:val="none"/>
                <w:lang w:val="en-US" w:eastAsia="zh-CN"/>
              </w:rPr>
              <w:t xml:space="preserve">  </w:t>
            </w:r>
            <w:r>
              <w:rPr>
                <w:rFonts w:hint="eastAsia" w:ascii="宋体" w:hAnsi="宋体" w:eastAsia="宋体" w:cs="宋体"/>
                <w:bCs/>
                <w:color w:val="auto"/>
                <w:szCs w:val="24"/>
                <w:highlight w:val="none"/>
              </w:rPr>
              <w:t xml:space="preserve">（标的）名称</w:t>
            </w:r>
            <w:r/>
          </w:p>
        </w:tc>
        <w:tc>
          <w:tcPr>
            <w:tcW w:w="70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21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
                <w:bCs w:val="0"/>
                <w:color w:val="auto"/>
                <w:szCs w:val="24"/>
                <w:highlight w:val="none"/>
              </w:rPr>
              <w:t xml:space="preserve">是否符合本国产品标准</w:t>
            </w:r>
            <w:r/>
          </w:p>
        </w:tc>
        <w:tc>
          <w:tcPr>
            <w:tcW w:w="82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tcW w:w="768"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927"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8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65"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750"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793" w:type="dxa"/>
            <w:vAlign w:val="center"/>
            <w:textDirection w:val="lrTb"/>
            <w:noWrap w:val="false"/>
          </w:tcPr>
          <w:p>
            <w:pPr>
              <w:ind w:left="0" w:right="0"/>
              <w:jc w:val="center"/>
              <w:pageBreakBefore w:val="0"/>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1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2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8"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27"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8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65"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50"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3"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5284" w:type="dxa"/>
            <w:vAlign w:val="center"/>
            <w:textDirection w:val="lrTb"/>
            <w:noWrap/>
          </w:tcPr>
          <w:p>
            <w:pPr>
              <w:ind w:left="0" w:right="0"/>
              <w:jc w:val="center"/>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1"/>
            <w:tcW w:w="9299" w:type="dxa"/>
            <w:vAlign w:val="center"/>
            <w:textDirection w:val="lrTb"/>
            <w:noWrap/>
          </w:tcPr>
          <w:p>
            <w:pPr>
              <w:ind w:left="0" w:right="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该部分供应商填写）</w:t>
            </w:r>
            <w:r/>
          </w:p>
        </w:tc>
      </w:tr>
    </w:tbl>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ind w:left="0" w:right="0"/>
        <w:pageBreakBefore w:val="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0" w:right="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如实、正确填写本表，所填内容将作为评审的依据，其内容应与对应的证明资料相符。</w:t>
      </w:r>
      <w:r/>
    </w:p>
    <w:p>
      <w:pPr>
        <w:ind w:left="0" w:right="0"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4、行数或事项不够，可自行增加。</w:t>
      </w:r>
      <w:r/>
    </w:p>
    <w:p>
      <w:pPr>
        <w:pStyle w:val="977"/>
        <w:numPr>
          <w:ilvl w:val="0"/>
          <w:numId w:val="0"/>
        </w:numPr>
        <w:jc w:val="center"/>
        <w:spacing w:line="360" w:lineRule="auto"/>
        <w:rPr>
          <w:rFonts w:hint="eastAsia" w:ascii="宋体" w:hAnsi="宋体" w:cs="宋体"/>
          <w:b w:val="0"/>
          <w:bCs w:val="0"/>
          <w:color w:val="auto"/>
          <w:sz w:val="32"/>
          <w:szCs w:val="32"/>
          <w:highlight w:val="none"/>
        </w:rPr>
      </w:pPr>
      <w:r>
        <w:rPr>
          <w:rFonts w:hint="eastAsia" w:ascii="宋体" w:hAnsi="宋体" w:eastAsia="宋体" w:cs="宋体"/>
          <w:i/>
          <w:iCs/>
          <w:color w:val="auto"/>
          <w:sz w:val="36"/>
          <w:highlight w:val="none"/>
          <w:u w:val="single"/>
        </w:rPr>
        <w:br w:type="page" w:clear="all"/>
      </w:r>
      <w:r>
        <w:rPr>
          <w:rFonts w:hint="eastAsia" w:ascii="宋体" w:hAnsi="宋体" w:cs="宋体"/>
          <w:b w:val="0"/>
          <w:bCs w:val="0"/>
          <w:color w:val="auto"/>
          <w:sz w:val="32"/>
          <w:szCs w:val="32"/>
          <w:highlight w:val="none"/>
        </w:rPr>
        <w:t xml:space="preserve">投标报价汇总表</w:t>
      </w:r>
      <w:r/>
    </w:p>
    <w:p>
      <w:pPr>
        <w:ind w:right="32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单位：(人民币)元</w:t>
      </w:r>
      <w:r/>
    </w:p>
    <w:tbl>
      <w:tblPr>
        <w:tblStyle w:val="741"/>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2207"/>
        <w:gridCol w:w="1857"/>
        <w:gridCol w:w="934"/>
        <w:gridCol w:w="695"/>
        <w:gridCol w:w="711"/>
        <w:gridCol w:w="1269"/>
        <w:gridCol w:w="1251"/>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座位数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总价</w:t>
            </w:r>
            <w:r/>
          </w:p>
        </w:tc>
      </w:tr>
      <w:tr>
        <w:trPr>
          <w:trHeight w:val="371"/>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2F-A01 A04 1F-A07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 2F-A02 A05 1F-A08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分段式智能物理吊装实验室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1F-A06 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物理电学实验室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1F-A10</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演示实验室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2F-A03 A06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4F-A01 A08</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4F-A02 A07</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分段式智能化学吊装实验室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4F-A04 5F-A05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化学药品室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3F-A09</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 4F-A06 </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4F-A03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化学上通风实验室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8"/>
            <w:shd w:val="clear" w:color="auto" w:fill="auto"/>
            <w:tcBorders>
              <w:top w:val="single" w:color="000000" w:sz="4" w:space="0"/>
              <w:left w:val="single" w:color="000000" w:sz="4" w:space="0"/>
              <w:bottom w:val="single" w:color="000000" w:sz="4" w:space="0"/>
              <w:right w:val="single" w:color="000000" w:sz="4" w:space="0"/>
            </w:tcBorders>
            <w:tcW w:w="965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生物标本室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分段式智能生物吊装实验室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1F-B04 B07 2F-B02 B05</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1F-B05 B08 2F-B03 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生物仪器室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1F-B06</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生物综合实验室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2F-B01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生物解剖实验室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3F-B01 B03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3F-B04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生物组培实验室2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4F-B01 B02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数字化实验室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4F-B02 B04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实验员工作室</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生物实验仪器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物理数字化传感器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化学数字化传感器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生物数字化传感器</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69"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9"/>
        </w:trPr>
        <w:tc>
          <w:tcPr>
            <w:gridSpan w:val="6"/>
            <w:shd w:val="clear" w:color="auto" w:fill="auto"/>
            <w:tcBorders>
              <w:top w:val="single" w:color="000000" w:sz="4" w:space="0"/>
              <w:left w:val="single" w:color="000000" w:sz="4" w:space="0"/>
              <w:bottom w:val="single" w:color="000000" w:sz="4" w:space="0"/>
              <w:right w:val="none" w:color="000000" w:sz="4" w:space="0"/>
            </w:tcBorders>
            <w:tcW w:w="7136"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771"/>
        <w:rPr>
          <w:rFonts w:hint="eastAsia"/>
          <w:color w:val="auto"/>
          <w:highlight w:val="none"/>
        </w:rPr>
      </w:pPr>
      <w:r>
        <w:rPr>
          <w:rFonts w:hint="eastAsia"/>
          <w:color w:val="auto"/>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left="0" w:right="0" w:firstLine="42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月</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日</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rPr>
          <w:rFonts w:ascii="SimSun" w:hAnsi="SimSun" w:eastAsia="SimSun" w:cs="SimSun"/>
          <w:b/>
          <w:color w:val="000000"/>
          <w:sz w:val="24"/>
        </w:rPr>
        <w:t xml:space="preserve">注：本项目货物需求清单明细表中按单间配置标准列明数量，最终按货物采购清单汇总表的总间数相乘计算总数量及填写本项目投标总报价。</w:t>
      </w: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四</w:t>
      </w:r>
      <w:r>
        <w:rPr>
          <w:rFonts w:hint="eastAsia" w:ascii="宋体" w:hAnsi="宋体" w:eastAsia="宋体" w:cs="宋体"/>
          <w:i/>
          <w:color w:val="auto"/>
          <w:sz w:val="28"/>
          <w:szCs w:val="28"/>
          <w:highlight w:val="none"/>
          <w:u w:val="single"/>
        </w:rPr>
        <w:t xml:space="preserve">、关于符合本国产品标准的声明函</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keepLines w:val="0"/>
        <w:keepNext w:val="0"/>
        <w:pageBreakBefore w:val="0"/>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p>
    <w:p>
      <w:pPr>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十五、</w:t>
      </w:r>
      <w:r>
        <w:rPr>
          <w:rFonts w:hint="eastAsia" w:ascii="宋体" w:hAnsi="宋体" w:eastAsia="宋体" w:cs="宋体"/>
          <w:i/>
          <w:color w:val="auto"/>
          <w:sz w:val="28"/>
          <w:szCs w:val="28"/>
          <w:highlight w:val="none"/>
          <w:u w:val="single"/>
        </w:rPr>
        <w:t xml:space="preserve">技术要求响应及偏离表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ind w:left="0" w:right="0" w:firstLine="480"/>
        <w:jc w:val="left"/>
        <w:pageBreakBefore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8" w:name="_Hlt26955054"/>
      <w:r/>
      <w:bookmarkEnd w:id="28"/>
      <w:r>
        <w:rPr>
          <w:rFonts w:hint="eastAsia" w:ascii="宋体" w:hAnsi="宋体" w:eastAsia="宋体" w:cs="宋体"/>
          <w:i/>
          <w:iCs/>
          <w:color w:val="auto"/>
          <w:sz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六</w:t>
      </w:r>
      <w:r>
        <w:rPr>
          <w:rFonts w:hint="eastAsia" w:ascii="宋体" w:hAnsi="宋体" w:eastAsia="宋体" w:cs="宋体"/>
          <w:i/>
          <w:color w:val="auto"/>
          <w:sz w:val="28"/>
          <w:szCs w:val="28"/>
          <w:highlight w:val="none"/>
          <w:u w:val="single"/>
        </w:rPr>
        <w:t xml:space="preserve">、商务要求响应及偏离表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bookmarkStart w:id="29" w:name="_Hlt26609391"/>
            <w:r/>
            <w:bookmarkEnd w:id="29"/>
            <w:r/>
            <w:bookmarkStart w:id="30" w:name="_Hlt26580838"/>
            <w:r/>
            <w:bookmarkEnd w:id="30"/>
            <w:r/>
            <w:bookmarkStart w:id="31" w:name="_Hlt26782999"/>
            <w:r/>
            <w:bookmarkEnd w:id="31"/>
            <w:r/>
            <w:bookmarkStart w:id="32" w:name="_Hlt24879081"/>
            <w:r/>
            <w:bookmarkEnd w:id="32"/>
            <w:r/>
            <w:bookmarkStart w:id="33" w:name="_Hlt26671343"/>
            <w:r/>
            <w:bookmarkEnd w:id="33"/>
            <w:r/>
            <w:bookmarkStart w:id="34" w:name="_Hlt26671372"/>
            <w:r/>
            <w:bookmarkEnd w:id="34"/>
            <w:r/>
            <w:bookmarkStart w:id="35" w:name="_Hlt26955064"/>
            <w:r/>
            <w:bookmarkEnd w:id="35"/>
            <w:r/>
            <w:bookmarkStart w:id="36" w:name="_Hlt26955056"/>
            <w:r/>
            <w:bookmarkEnd w:id="36"/>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bookmarkStart w:id="37" w:name="_Hlt26955066"/>
      <w:r/>
      <w:bookmarkEnd w:id="37"/>
      <w:r/>
      <w:bookmarkStart w:id="38" w:name="_Hlt26671374"/>
      <w:r/>
      <w:bookmarkEnd w:id="38"/>
      <w:r/>
      <w:bookmarkStart w:id="39" w:name="_格式2__法定代表人授权书"/>
      <w:r/>
      <w:bookmarkEnd w:id="39"/>
      <w:r/>
      <w:bookmarkStart w:id="40" w:name="_Hlt26609389"/>
      <w:r/>
      <w:bookmarkEnd w:id="40"/>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numPr>
          <w:ilvl w:val="0"/>
          <w:numId w:val="0"/>
        </w:num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七</w:t>
      </w:r>
      <w:r>
        <w:rPr>
          <w:rFonts w:hint="eastAsia" w:ascii="宋体" w:hAnsi="宋体" w:eastAsia="宋体" w:cs="宋体"/>
          <w:i/>
          <w:color w:val="auto"/>
          <w:sz w:val="28"/>
          <w:szCs w:val="28"/>
          <w:highlight w:val="none"/>
          <w:u w:val="single"/>
        </w:rPr>
        <w:t xml:space="preserve">、类似项目业绩一览表</w:t>
      </w:r>
      <w:r/>
    </w:p>
    <w:p>
      <w:pPr>
        <w:numPr>
          <w:ilvl w:val="0"/>
          <w:numId w:val="0"/>
        </w:numPr>
        <w:ind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left="0" w:right="0" w:firstLine="24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w:t>
      </w:r>
      <w:r>
        <w:rPr>
          <w:rFonts w:hint="eastAsia" w:ascii="宋体" w:hAnsi="宋体" w:eastAsia="宋体" w:cs="宋体"/>
          <w:i/>
          <w:color w:val="auto"/>
          <w:sz w:val="28"/>
          <w:szCs w:val="28"/>
          <w:highlight w:val="none"/>
          <w:u w:val="single"/>
          <w:lang w:eastAsia="zh-CN"/>
        </w:rPr>
        <w:t xml:space="preserve">八</w:t>
      </w:r>
      <w:r>
        <w:rPr>
          <w:rFonts w:hint="eastAsia" w:ascii="宋体" w:hAnsi="宋体" w:eastAsia="宋体" w:cs="宋体"/>
          <w:i/>
          <w:color w:val="auto"/>
          <w:sz w:val="28"/>
          <w:szCs w:val="28"/>
          <w:highlight w:val="none"/>
          <w:u w:val="single"/>
        </w:rPr>
        <w:t xml:space="preserve">、项目团队人员一览表</w:t>
      </w:r>
      <w:r/>
    </w:p>
    <w:p>
      <w:pPr>
        <w:ind w:left="0" w:right="0"/>
        <w:jc w:val="center"/>
        <w:pageBreakBefore w:val="0"/>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left="0" w:right="0"/>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41"/>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2696"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2910"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88"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7" w:type="dxa"/>
            <w:vAlign w:val="center"/>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96"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10"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643"/>
        <w:jc w:val="left"/>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i/>
          <w:color w:val="auto"/>
          <w:sz w:val="36"/>
          <w:szCs w:val="36"/>
          <w:highlight w:val="none"/>
          <w:u w:val="single"/>
        </w:rPr>
      </w:pPr>
      <w:r>
        <w:rPr>
          <w:rFonts w:hint="eastAsia" w:ascii="宋体" w:hAnsi="宋体" w:eastAsia="宋体" w:cs="宋体"/>
          <w:bCs/>
          <w:i/>
          <w:color w:val="auto"/>
          <w:sz w:val="36"/>
          <w:szCs w:val="36"/>
          <w:highlight w:val="none"/>
          <w:u w:val="single"/>
        </w:rPr>
        <w:br w:type="page" w:clear="all"/>
      </w:r>
      <w:r/>
    </w:p>
    <w:p>
      <w:pPr>
        <w:ind w:left="0" w:right="0"/>
        <w:jc w:val="left"/>
        <w:keepLines/>
        <w:keepNext/>
        <w:pageBreakBefore w:val="0"/>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eastAsia="zh-CN"/>
        </w:rPr>
        <w:t xml:space="preserve">十九</w:t>
      </w:r>
      <w:r>
        <w:rPr>
          <w:rFonts w:hint="eastAsia" w:ascii="宋体" w:hAnsi="宋体" w:eastAsia="宋体" w:cs="宋体"/>
          <w:i/>
          <w:color w:val="auto"/>
          <w:sz w:val="28"/>
          <w:szCs w:val="28"/>
          <w:highlight w:val="none"/>
          <w:u w:val="single"/>
        </w:rPr>
        <w:t xml:space="preserve">、开标一览表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投标人全称（CA公章）：</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7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ind w:left="0" w:right="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8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40"/>
          <w:szCs w:val="32"/>
          <w:highlight w:val="none"/>
        </w:rPr>
        <w:br w:type="page" w:clear="all"/>
      </w:r>
      <w:r/>
    </w:p>
    <w:p>
      <w:pPr>
        <w:ind w:left="0" w:right="0"/>
        <w:jc w:val="center"/>
        <w:pageBreakBefore w:val="0"/>
        <w:spacing w:line="360" w:lineRule="auto"/>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基本信息</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获取日期：</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提出质疑时，应提交质疑函和必要的证明材料。</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为自然人的，应当由本人签字；</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为法人或者其他组织的，应当由法定代表人、主要负责人签字或者盖章，并加盖公章。</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若对项目的某一分包进行质疑，质疑函中应列明具体分包号。</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为自然人的，质疑函应附自然人身份证明复印件并由本人签字；质疑</w:t>
      </w:r>
      <w:r>
        <w:rPr>
          <w:rFonts w:hint="eastAsia" w:ascii="宋体" w:hAnsi="宋体" w:eastAsia="宋体" w:cs="宋体"/>
          <w:b w:val="0"/>
          <w:bCs/>
          <w:color w:val="auto"/>
          <w:sz w:val="24"/>
          <w:szCs w:val="24"/>
          <w:highlight w:val="none"/>
          <w:lang w:eastAsia="zh-CN"/>
        </w:rPr>
        <w:t xml:space="preserve">投标人</w:t>
      </w:r>
      <w:r>
        <w:rPr>
          <w:rFonts w:hint="eastAsia" w:ascii="宋体" w:hAnsi="宋体" w:eastAsia="宋体" w:cs="宋体"/>
          <w:b w:val="0"/>
          <w:bCs/>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3080"/>
                      <w:docPartObj>
                        <w:docPartGallery w:val="autotext"/>
                      </w:docPartObj>
                      <w:rPr/>
                    </w:sdtPr>
                    <w:sdtContent>
                      <w:p>
                        <w:pPr>
                          <w:pStyle w:val="756"/>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971"/>
    <w:uiPriority w:val="0"/>
    <w:qFormat/>
    <w:pPr>
      <w:jc w:val="both"/>
      <w:widowControl w:val="off"/>
    </w:pPr>
    <w:rPr>
      <w:rFonts w:hint="default" w:asciiTheme="minorHAnsi" w:hAnsiTheme="minorHAnsi" w:eastAsiaTheme="minorEastAsia" w:cstheme="minorBidi"/>
      <w:sz w:val="21"/>
      <w:szCs w:val="22"/>
    </w:rPr>
  </w:style>
  <w:style w:type="paragraph" w:styleId="731">
    <w:name w:val="Heading 1"/>
    <w:basedOn w:val="730"/>
    <w:next w:val="730"/>
    <w:link w:val="940"/>
    <w:uiPriority w:val="9"/>
    <w:qFormat/>
    <w:pPr>
      <w:keepLines/>
      <w:keepNext/>
      <w:spacing w:before="340" w:after="330" w:line="578" w:lineRule="auto"/>
      <w:outlineLvl w:val="0"/>
    </w:pPr>
    <w:rPr>
      <w:b/>
      <w:bCs/>
      <w:sz w:val="44"/>
      <w:szCs w:val="44"/>
    </w:rPr>
  </w:style>
  <w:style w:type="paragraph" w:styleId="732">
    <w:name w:val="Heading 2"/>
    <w:basedOn w:val="730"/>
    <w:next w:val="730"/>
    <w:link w:val="9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43"/>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793"/>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4"/>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95"/>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7"/>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8"/>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0"/>
    <w:qFormat/>
    <w:pPr>
      <w:ind w:firstLine="420"/>
    </w:pPr>
    <w:rPr>
      <w:b/>
      <w:sz w:val="24"/>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Document Map"/>
    <w:basedOn w:val="730"/>
    <w:link w:val="941"/>
    <w:uiPriority w:val="99"/>
    <w:semiHidden/>
    <w:unhideWhenUsed/>
    <w:qFormat/>
    <w:rPr>
      <w:rFonts w:ascii="宋体" w:eastAsia="宋体"/>
      <w:sz w:val="18"/>
      <w:szCs w:val="18"/>
    </w:rPr>
  </w:style>
  <w:style w:type="paragraph" w:styleId="746">
    <w:name w:val="annotation text"/>
    <w:basedOn w:val="730"/>
    <w:link w:val="945"/>
    <w:uiPriority w:val="0"/>
    <w:qFormat/>
    <w:pPr>
      <w:ind w:firstLine="420"/>
      <w:jc w:val="left"/>
      <w:spacing w:line="360" w:lineRule="auto"/>
    </w:pPr>
    <w:rPr>
      <w:rFonts w:ascii="Times New Roman" w:hAnsi="Times New Roman" w:eastAsia="宋体" w:cs="Times New Roman"/>
      <w:color w:val="ff0000"/>
      <w:szCs w:val="24"/>
    </w:rPr>
  </w:style>
  <w:style w:type="paragraph" w:styleId="747">
    <w:name w:val="Body Text"/>
    <w:basedOn w:val="730"/>
    <w:next w:val="730"/>
    <w:link w:val="953"/>
    <w:uiPriority w:val="0"/>
    <w:unhideWhenUsed/>
    <w:qFormat/>
    <w:pPr>
      <w:spacing w:after="120"/>
    </w:pPr>
    <w:rPr>
      <w:rFonts w:ascii="Calibri" w:hAnsi="Calibri" w:eastAsia="宋体" w:cs="Times New Roman"/>
    </w:rPr>
  </w:style>
  <w:style w:type="paragraph" w:styleId="748">
    <w:name w:val="Body Text Indent"/>
    <w:basedOn w:val="730"/>
    <w:link w:val="954"/>
    <w:uiPriority w:val="0"/>
    <w:qFormat/>
    <w:pPr>
      <w:ind w:left="420"/>
      <w:spacing w:after="120"/>
    </w:pPr>
    <w:rPr>
      <w:rFonts w:ascii="Times New Roman" w:hAnsi="Times New Roman" w:eastAsia="宋体" w:cs="Times New Roman"/>
      <w:szCs w:val="24"/>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Plain Text"/>
    <w:basedOn w:val="730"/>
    <w:link w:val="955"/>
    <w:uiPriority w:val="0"/>
    <w:qFormat/>
    <w:rPr>
      <w:rFonts w:ascii="宋体" w:hAnsi="Courier New" w:eastAsia="宋体" w:cs="Courier New"/>
      <w:szCs w:val="21"/>
    </w:rPr>
  </w:style>
  <w:style w:type="paragraph" w:styleId="752">
    <w:name w:val="toc 8"/>
    <w:basedOn w:val="730"/>
    <w:next w:val="730"/>
    <w:uiPriority w:val="39"/>
    <w:unhideWhenUsed/>
    <w:qFormat/>
    <w:pPr>
      <w:ind w:left="1984" w:right="0" w:firstLine="0"/>
      <w:spacing w:after="57"/>
    </w:pPr>
  </w:style>
  <w:style w:type="paragraph" w:styleId="753">
    <w:name w:val="Date"/>
    <w:basedOn w:val="730"/>
    <w:next w:val="730"/>
    <w:link w:val="944"/>
    <w:uiPriority w:val="99"/>
    <w:semiHidden/>
    <w:unhideWhenUsed/>
    <w:qFormat/>
    <w:pPr>
      <w:ind w:left="100"/>
    </w:pPr>
  </w:style>
  <w:style w:type="paragraph" w:styleId="754">
    <w:name w:val="endnote text"/>
    <w:basedOn w:val="730"/>
    <w:link w:val="936"/>
    <w:uiPriority w:val="99"/>
    <w:semiHidden/>
    <w:unhideWhenUsed/>
    <w:qFormat/>
    <w:pPr>
      <w:spacing w:after="0" w:line="240" w:lineRule="auto"/>
    </w:pPr>
    <w:rPr>
      <w:sz w:val="20"/>
    </w:rPr>
  </w:style>
  <w:style w:type="paragraph" w:styleId="755">
    <w:name w:val="Balloon Text"/>
    <w:basedOn w:val="730"/>
    <w:link w:val="946"/>
    <w:uiPriority w:val="99"/>
    <w:semiHidden/>
    <w:unhideWhenUsed/>
    <w:qFormat/>
    <w:rPr>
      <w:sz w:val="18"/>
      <w:szCs w:val="18"/>
    </w:rPr>
  </w:style>
  <w:style w:type="paragraph" w:styleId="756">
    <w:name w:val="Footer"/>
    <w:basedOn w:val="730"/>
    <w:link w:val="939"/>
    <w:uiPriority w:val="99"/>
    <w:unhideWhenUsed/>
    <w:qFormat/>
    <w:pPr>
      <w:jc w:val="left"/>
      <w:tabs>
        <w:tab w:val="center" w:pos="4153" w:leader="none"/>
        <w:tab w:val="right" w:pos="8306" w:leader="none"/>
      </w:tabs>
    </w:pPr>
    <w:rPr>
      <w:sz w:val="18"/>
      <w:szCs w:val="18"/>
    </w:rPr>
  </w:style>
  <w:style w:type="paragraph" w:styleId="757">
    <w:name w:val="Header"/>
    <w:basedOn w:val="730"/>
    <w:link w:val="9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30"/>
    <w:next w:val="730"/>
    <w:uiPriority w:val="39"/>
    <w:unhideWhenUsed/>
    <w:qFormat/>
  </w:style>
  <w:style w:type="paragraph" w:styleId="759">
    <w:name w:val="toc 4"/>
    <w:basedOn w:val="730"/>
    <w:next w:val="730"/>
    <w:uiPriority w:val="39"/>
    <w:unhideWhenUsed/>
    <w:qFormat/>
    <w:pPr>
      <w:ind w:left="850" w:right="0" w:firstLine="0"/>
      <w:spacing w:after="57"/>
    </w:pPr>
  </w:style>
  <w:style w:type="paragraph" w:styleId="760">
    <w:name w:val="Subtitle"/>
    <w:basedOn w:val="730"/>
    <w:next w:val="730"/>
    <w:link w:val="802"/>
    <w:uiPriority w:val="11"/>
    <w:qFormat/>
    <w:pPr>
      <w:spacing w:before="200" w:after="200"/>
    </w:pPr>
    <w:rPr>
      <w:sz w:val="24"/>
      <w:szCs w:val="24"/>
    </w:rPr>
  </w:style>
  <w:style w:type="paragraph" w:styleId="761">
    <w:name w:val="footnote text"/>
    <w:basedOn w:val="730"/>
    <w:link w:val="935"/>
    <w:uiPriority w:val="99"/>
    <w:semiHidden/>
    <w:unhideWhenUsed/>
    <w:qFormat/>
    <w:pPr>
      <w:spacing w:after="40" w:line="240" w:lineRule="auto"/>
    </w:pPr>
    <w:rPr>
      <w:sz w:val="18"/>
    </w:rPr>
  </w:style>
  <w:style w:type="paragraph" w:styleId="762">
    <w:name w:val="toc 6"/>
    <w:basedOn w:val="730"/>
    <w:next w:val="730"/>
    <w:uiPriority w:val="39"/>
    <w:unhideWhenUsed/>
    <w:qFormat/>
    <w:pPr>
      <w:ind w:left="1417" w:right="0" w:firstLine="0"/>
      <w:spacing w:after="57"/>
    </w:pPr>
  </w:style>
  <w:style w:type="paragraph" w:styleId="763">
    <w:name w:val="table of figures"/>
    <w:basedOn w:val="730"/>
    <w:next w:val="730"/>
    <w:uiPriority w:val="99"/>
    <w:unhideWhenUsed/>
    <w:qFormat/>
    <w:pPr>
      <w:spacing w:after="0" w:afterAutospacing="0"/>
    </w:pPr>
  </w:style>
  <w:style w:type="paragraph" w:styleId="764">
    <w:name w:val="toc 2"/>
    <w:basedOn w:val="730"/>
    <w:next w:val="730"/>
    <w:uiPriority w:val="39"/>
    <w:unhideWhenUsed/>
    <w:qFormat/>
    <w:pPr>
      <w:ind w:left="283" w:right="0" w:firstLine="0"/>
      <w:spacing w:after="57"/>
    </w:pPr>
  </w:style>
  <w:style w:type="paragraph" w:styleId="765">
    <w:name w:val="toc 9"/>
    <w:basedOn w:val="730"/>
    <w:next w:val="730"/>
    <w:uiPriority w:val="39"/>
    <w:unhideWhenUsed/>
    <w:qFormat/>
    <w:pPr>
      <w:ind w:left="2268" w:right="0" w:firstLine="0"/>
      <w:spacing w:after="57"/>
    </w:pPr>
  </w:style>
  <w:style w:type="paragraph" w:styleId="766">
    <w:name w:val="List Continue 2"/>
    <w:basedOn w:val="730"/>
    <w:next w:val="730"/>
    <w:uiPriority w:val="0"/>
    <w:qFormat/>
    <w:pPr>
      <w:ind w:left="840"/>
      <w:spacing w:after="120"/>
    </w:pPr>
  </w:style>
  <w:style w:type="paragraph" w:styleId="767">
    <w:name w:val="Normal (Web)"/>
    <w:basedOn w:val="73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68">
    <w:name w:val="Title"/>
    <w:basedOn w:val="730"/>
    <w:next w:val="730"/>
    <w:link w:val="801"/>
    <w:uiPriority w:val="10"/>
    <w:qFormat/>
    <w:pPr>
      <w:contextualSpacing/>
      <w:spacing w:before="300" w:after="200"/>
    </w:pPr>
    <w:rPr>
      <w:sz w:val="48"/>
      <w:szCs w:val="48"/>
    </w:rPr>
  </w:style>
  <w:style w:type="paragraph" w:styleId="769">
    <w:name w:val="annotation subject"/>
    <w:basedOn w:val="746"/>
    <w:next w:val="746"/>
    <w:link w:val="951"/>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0">
    <w:name w:val="Body Text First Indent"/>
    <w:basedOn w:val="747"/>
    <w:uiPriority w:val="0"/>
    <w:qFormat/>
    <w:pPr>
      <w:ind w:firstLine="200"/>
      <w:spacing w:line="360" w:lineRule="auto"/>
    </w:pPr>
    <w:rPr>
      <w:rFonts w:ascii="仿宋_GB2312" w:hAnsi="Times New Roman" w:eastAsia="仿宋_GB2312" w:cs="Times New Roman"/>
      <w:sz w:val="30"/>
      <w:szCs w:val="30"/>
    </w:rPr>
  </w:style>
  <w:style w:type="paragraph" w:styleId="771">
    <w:name w:val="Body Text First Indent 2"/>
    <w:basedOn w:val="748"/>
    <w:uiPriority w:val="0"/>
    <w:qFormat/>
    <w:pPr>
      <w:ind w:left="0" w:firstLine="420"/>
      <w:spacing w:after="0" w:line="360" w:lineRule="auto"/>
    </w:pPr>
    <w:rPr>
      <w:rFonts w:ascii="宋体" w:hAnsi="宋体" w:eastAsia="宋体" w:cs="Times New Roman"/>
      <w:szCs w:val="20"/>
    </w:rPr>
  </w:style>
  <w:style w:type="table" w:styleId="772">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basedOn w:val="740"/>
    <w:uiPriority w:val="22"/>
    <w:qFormat/>
    <w:rPr>
      <w:b/>
    </w:rPr>
  </w:style>
  <w:style w:type="character" w:styleId="774">
    <w:name w:val="endnote reference"/>
    <w:basedOn w:val="740"/>
    <w:uiPriority w:val="99"/>
    <w:semiHidden/>
    <w:unhideWhenUsed/>
    <w:qFormat/>
    <w:rPr>
      <w:vertAlign w:val="superscript"/>
    </w:rPr>
  </w:style>
  <w:style w:type="character" w:styleId="775">
    <w:name w:val="FollowedHyperlink"/>
    <w:basedOn w:val="740"/>
    <w:uiPriority w:val="99"/>
    <w:semiHidden/>
    <w:unhideWhenUsed/>
    <w:qFormat/>
    <w:rPr>
      <w:color w:val="800080"/>
      <w:u w:val="none"/>
    </w:rPr>
  </w:style>
  <w:style w:type="character" w:styleId="776">
    <w:name w:val="HTML Definition"/>
    <w:basedOn w:val="740"/>
    <w:uiPriority w:val="99"/>
    <w:semiHidden/>
    <w:unhideWhenUsed/>
    <w:qFormat/>
  </w:style>
  <w:style w:type="character" w:styleId="777">
    <w:name w:val="HTML Typewriter"/>
    <w:basedOn w:val="740"/>
    <w:uiPriority w:val="99"/>
    <w:semiHidden/>
    <w:unhideWhenUsed/>
    <w:qFormat/>
    <w:rPr>
      <w:rFonts w:hint="default" w:ascii="monospace" w:hAnsi="monospace" w:eastAsia="monospace" w:cs="monospace"/>
      <w:sz w:val="20"/>
    </w:rPr>
  </w:style>
  <w:style w:type="character" w:styleId="778">
    <w:name w:val="HTML Acronym"/>
    <w:basedOn w:val="740"/>
    <w:uiPriority w:val="99"/>
    <w:semiHidden/>
    <w:unhideWhenUsed/>
    <w:qFormat/>
  </w:style>
  <w:style w:type="character" w:styleId="779">
    <w:name w:val="HTML Variable"/>
    <w:basedOn w:val="740"/>
    <w:uiPriority w:val="99"/>
    <w:semiHidden/>
    <w:unhideWhenUsed/>
    <w:qFormat/>
  </w:style>
  <w:style w:type="character" w:styleId="780">
    <w:name w:val="Hyperlink"/>
    <w:uiPriority w:val="99"/>
    <w:qFormat/>
    <w:rPr>
      <w:color w:val="0000ff"/>
      <w:u w:val="none"/>
    </w:rPr>
  </w:style>
  <w:style w:type="character" w:styleId="781">
    <w:name w:val="HTML Code"/>
    <w:basedOn w:val="740"/>
    <w:uiPriority w:val="99"/>
    <w:semiHidden/>
    <w:unhideWhenUsed/>
    <w:qFormat/>
    <w:rPr>
      <w:rFonts w:hint="default" w:ascii="monospace" w:hAnsi="monospace" w:eastAsia="monospace" w:cs="monospace"/>
      <w:sz w:val="20"/>
    </w:rPr>
  </w:style>
  <w:style w:type="character" w:styleId="782">
    <w:name w:val="annotation reference"/>
    <w:uiPriority w:val="0"/>
    <w:qFormat/>
    <w:rPr>
      <w:sz w:val="21"/>
      <w:szCs w:val="21"/>
    </w:rPr>
  </w:style>
  <w:style w:type="character" w:styleId="783">
    <w:name w:val="HTML Cite"/>
    <w:basedOn w:val="740"/>
    <w:uiPriority w:val="99"/>
    <w:semiHidden/>
    <w:unhideWhenUsed/>
    <w:qFormat/>
  </w:style>
  <w:style w:type="character" w:styleId="784">
    <w:name w:val="footnote reference"/>
    <w:basedOn w:val="740"/>
    <w:uiPriority w:val="99"/>
    <w:unhideWhenUsed/>
    <w:qFormat/>
    <w:rPr>
      <w:vertAlign w:val="superscript"/>
    </w:rPr>
  </w:style>
  <w:style w:type="character" w:styleId="785">
    <w:name w:val="HTML Keyboard"/>
    <w:basedOn w:val="740"/>
    <w:uiPriority w:val="99"/>
    <w:semiHidden/>
    <w:unhideWhenUsed/>
    <w:qFormat/>
    <w:rPr>
      <w:rFonts w:hint="default" w:ascii="monospace" w:hAnsi="monospace" w:eastAsia="monospace" w:cs="monospace"/>
      <w:sz w:val="20"/>
    </w:rPr>
  </w:style>
  <w:style w:type="character" w:styleId="786">
    <w:name w:val="HTML Sample"/>
    <w:basedOn w:val="740"/>
    <w:uiPriority w:val="99"/>
    <w:semiHidden/>
    <w:unhideWhenUsed/>
    <w:qFormat/>
    <w:rPr>
      <w:rFonts w:ascii="monospace" w:hAnsi="monospace" w:eastAsia="monospace" w:cs="monospace"/>
    </w:rPr>
  </w:style>
  <w:style w:type="paragraph" w:styleId="787" w:customStyle="1">
    <w:name w:val="首行缩进"/>
    <w:basedOn w:val="730"/>
    <w:uiPriority w:val="0"/>
    <w:qFormat/>
    <w:pPr>
      <w:ind w:firstLine="480"/>
    </w:pPr>
    <w:rPr>
      <w:lang w:val="zh-CN"/>
    </w:rPr>
  </w:style>
  <w:style w:type="paragraph" w:styleId="788" w:customStyle="1">
    <w:name w:val="Default"/>
    <w:link w:val="952"/>
    <w:uiPriority w:val="99"/>
    <w:qFormat/>
    <w:pPr>
      <w:widowControl w:val="off"/>
    </w:pPr>
    <w:rPr>
      <w:rFonts w:hint="default" w:ascii="MS Mincho" w:hAnsi="Calibri" w:eastAsia="宋体" w:cs="Times New Roman"/>
      <w:color w:val="000000"/>
      <w:sz w:val="21"/>
      <w:szCs w:val="24"/>
    </w:rPr>
  </w:style>
  <w:style w:type="paragraph" w:styleId="789" w:customStyle="1">
    <w:name w:val="段"/>
    <w:next w:val="730"/>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790" w:customStyle="1">
    <w:name w:val="Heading 1 Char"/>
    <w:basedOn w:val="740"/>
    <w:uiPriority w:val="9"/>
    <w:qFormat/>
    <w:rPr>
      <w:rFonts w:ascii="Arial" w:hAnsi="Arial" w:eastAsia="Arial" w:cs="Arial"/>
      <w:sz w:val="40"/>
      <w:szCs w:val="40"/>
    </w:rPr>
  </w:style>
  <w:style w:type="character" w:styleId="791" w:customStyle="1">
    <w:name w:val="Heading 2 Char"/>
    <w:basedOn w:val="740"/>
    <w:uiPriority w:val="9"/>
    <w:qFormat/>
    <w:rPr>
      <w:rFonts w:ascii="Arial" w:hAnsi="Arial" w:eastAsia="Arial" w:cs="Arial"/>
      <w:sz w:val="34"/>
    </w:rPr>
  </w:style>
  <w:style w:type="character" w:styleId="792" w:customStyle="1">
    <w:name w:val="Heading 3 Char"/>
    <w:basedOn w:val="740"/>
    <w:uiPriority w:val="9"/>
    <w:qFormat/>
    <w:rPr>
      <w:rFonts w:ascii="Arial" w:hAnsi="Arial" w:eastAsia="Arial" w:cs="Arial"/>
      <w:sz w:val="30"/>
      <w:szCs w:val="30"/>
    </w:rPr>
  </w:style>
  <w:style w:type="character" w:styleId="793" w:customStyle="1">
    <w:name w:val="Heading 4 Char"/>
    <w:basedOn w:val="740"/>
    <w:link w:val="734"/>
    <w:uiPriority w:val="9"/>
    <w:qFormat/>
    <w:rPr>
      <w:rFonts w:ascii="Arial" w:hAnsi="Arial" w:eastAsia="Arial" w:cs="Arial"/>
      <w:b/>
      <w:bCs/>
      <w:sz w:val="26"/>
      <w:szCs w:val="26"/>
    </w:rPr>
  </w:style>
  <w:style w:type="character" w:styleId="794" w:customStyle="1">
    <w:name w:val="Heading 5 Char"/>
    <w:basedOn w:val="740"/>
    <w:link w:val="735"/>
    <w:uiPriority w:val="9"/>
    <w:qFormat/>
    <w:rPr>
      <w:rFonts w:ascii="Arial" w:hAnsi="Arial" w:eastAsia="Arial" w:cs="Arial"/>
      <w:b/>
      <w:bCs/>
      <w:sz w:val="24"/>
      <w:szCs w:val="24"/>
    </w:rPr>
  </w:style>
  <w:style w:type="character" w:styleId="795" w:customStyle="1">
    <w:name w:val="Heading 6 Char"/>
    <w:basedOn w:val="740"/>
    <w:link w:val="736"/>
    <w:uiPriority w:val="9"/>
    <w:qFormat/>
    <w:rPr>
      <w:rFonts w:ascii="Arial" w:hAnsi="Arial" w:eastAsia="Arial" w:cs="Arial"/>
      <w:b/>
      <w:bCs/>
      <w:sz w:val="22"/>
      <w:szCs w:val="22"/>
    </w:rPr>
  </w:style>
  <w:style w:type="character" w:styleId="796" w:customStyle="1">
    <w:name w:val="Heading 7 Char"/>
    <w:basedOn w:val="740"/>
    <w:link w:val="737"/>
    <w:uiPriority w:val="9"/>
    <w:qFormat/>
    <w:rPr>
      <w:rFonts w:ascii="Arial" w:hAnsi="Arial" w:eastAsia="Arial" w:cs="Arial"/>
      <w:b/>
      <w:bCs/>
      <w:i/>
      <w:iCs/>
      <w:sz w:val="22"/>
      <w:szCs w:val="22"/>
    </w:rPr>
  </w:style>
  <w:style w:type="character" w:styleId="797" w:customStyle="1">
    <w:name w:val="Heading 8 Char"/>
    <w:basedOn w:val="740"/>
    <w:link w:val="738"/>
    <w:uiPriority w:val="9"/>
    <w:qFormat/>
    <w:rPr>
      <w:rFonts w:ascii="Arial" w:hAnsi="Arial" w:eastAsia="Arial" w:cs="Arial"/>
      <w:i/>
      <w:iCs/>
      <w:sz w:val="22"/>
      <w:szCs w:val="22"/>
    </w:rPr>
  </w:style>
  <w:style w:type="character" w:styleId="798" w:customStyle="1">
    <w:name w:val="Heading 9 Char"/>
    <w:basedOn w:val="740"/>
    <w:link w:val="739"/>
    <w:uiPriority w:val="9"/>
    <w:qFormat/>
    <w:rPr>
      <w:rFonts w:ascii="Arial" w:hAnsi="Arial" w:eastAsia="Arial" w:cs="Arial"/>
      <w:i/>
      <w:iCs/>
      <w:sz w:val="21"/>
      <w:szCs w:val="21"/>
    </w:rPr>
  </w:style>
  <w:style w:type="paragraph" w:styleId="799">
    <w:name w:val="List Paragraph"/>
    <w:basedOn w:val="730"/>
    <w:uiPriority w:val="34"/>
    <w:qFormat/>
    <w:pPr>
      <w:contextualSpacing/>
      <w:ind w:left="720"/>
    </w:pPr>
  </w:style>
  <w:style w:type="paragraph" w:styleId="800">
    <w:name w:val="No Spacing"/>
    <w:uiPriority w:val="1"/>
    <w:qFormat/>
    <w:pPr>
      <w:spacing w:before="0" w:after="0" w:line="240" w:lineRule="auto"/>
    </w:pPr>
    <w:rPr>
      <w:rFonts w:hint="default" w:asciiTheme="minorHAnsi" w:hAnsiTheme="minorHAnsi" w:eastAsiaTheme="minorEastAsia" w:cstheme="minorBidi"/>
    </w:rPr>
  </w:style>
  <w:style w:type="character" w:styleId="801" w:customStyle="1">
    <w:name w:val="Title Char"/>
    <w:basedOn w:val="740"/>
    <w:link w:val="768"/>
    <w:uiPriority w:val="10"/>
    <w:qFormat/>
    <w:rPr>
      <w:sz w:val="48"/>
      <w:szCs w:val="48"/>
    </w:rPr>
  </w:style>
  <w:style w:type="character" w:styleId="802" w:customStyle="1">
    <w:name w:val="Subtitle Char"/>
    <w:basedOn w:val="740"/>
    <w:link w:val="760"/>
    <w:uiPriority w:val="11"/>
    <w:qFormat/>
    <w:rPr>
      <w:sz w:val="24"/>
      <w:szCs w:val="24"/>
    </w:rPr>
  </w:style>
  <w:style w:type="paragraph" w:styleId="803">
    <w:name w:val="Quote"/>
    <w:basedOn w:val="730"/>
    <w:next w:val="730"/>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30"/>
    <w:next w:val="73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40"/>
    <w:uiPriority w:val="99"/>
    <w:qFormat/>
  </w:style>
  <w:style w:type="character" w:styleId="808" w:customStyle="1">
    <w:name w:val="Footer Char"/>
    <w:basedOn w:val="740"/>
    <w:uiPriority w:val="99"/>
    <w:qFormat/>
  </w:style>
  <w:style w:type="character" w:styleId="809" w:customStyle="1">
    <w:name w:val="Caption Char"/>
    <w:uiPriority w:val="99"/>
    <w:qFormat/>
  </w:style>
  <w:style w:type="table" w:styleId="810"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61"/>
    <w:uiPriority w:val="99"/>
    <w:qFormat/>
    <w:rPr>
      <w:sz w:val="18"/>
    </w:rPr>
  </w:style>
  <w:style w:type="character" w:styleId="936" w:customStyle="1">
    <w:name w:val="Endnote Text Char"/>
    <w:link w:val="754"/>
    <w:uiPriority w:val="99"/>
    <w:qFormat/>
    <w:rPr>
      <w:sz w:val="20"/>
    </w:rPr>
  </w:style>
  <w:style w:type="paragraph" w:styleId="937" w:customStyle="1">
    <w:name w:val="TOC Heading"/>
    <w:uiPriority w:val="39"/>
    <w:unhideWhenUsed/>
    <w:qFormat/>
    <w:rPr>
      <w:rFonts w:hint="default" w:asciiTheme="minorHAnsi" w:hAnsiTheme="minorHAnsi" w:eastAsiaTheme="minorEastAsia" w:cstheme="minorBidi"/>
    </w:rPr>
  </w:style>
  <w:style w:type="character" w:styleId="938" w:customStyle="1">
    <w:name w:val="页眉 字符"/>
    <w:basedOn w:val="740"/>
    <w:link w:val="757"/>
    <w:uiPriority w:val="99"/>
    <w:qFormat/>
    <w:rPr>
      <w:sz w:val="18"/>
      <w:szCs w:val="18"/>
    </w:rPr>
  </w:style>
  <w:style w:type="character" w:styleId="939" w:customStyle="1">
    <w:name w:val="页脚 字符"/>
    <w:basedOn w:val="740"/>
    <w:link w:val="756"/>
    <w:uiPriority w:val="99"/>
    <w:qFormat/>
    <w:rPr>
      <w:sz w:val="18"/>
      <w:szCs w:val="18"/>
    </w:rPr>
  </w:style>
  <w:style w:type="character" w:styleId="940" w:customStyle="1">
    <w:name w:val="标题 1 字符"/>
    <w:basedOn w:val="740"/>
    <w:link w:val="731"/>
    <w:uiPriority w:val="9"/>
    <w:qFormat/>
    <w:rPr>
      <w:b/>
      <w:bCs/>
      <w:sz w:val="44"/>
      <w:szCs w:val="44"/>
    </w:rPr>
  </w:style>
  <w:style w:type="character" w:styleId="941" w:customStyle="1">
    <w:name w:val="文档结构图 字符"/>
    <w:basedOn w:val="740"/>
    <w:link w:val="745"/>
    <w:uiPriority w:val="99"/>
    <w:semiHidden/>
    <w:qFormat/>
    <w:rPr>
      <w:rFonts w:ascii="宋体" w:eastAsia="宋体"/>
      <w:sz w:val="18"/>
      <w:szCs w:val="18"/>
    </w:rPr>
  </w:style>
  <w:style w:type="character" w:styleId="942" w:customStyle="1">
    <w:name w:val="标题 2 字符"/>
    <w:basedOn w:val="740"/>
    <w:link w:val="732"/>
    <w:uiPriority w:val="9"/>
    <w:qFormat/>
    <w:rPr>
      <w:rFonts w:asciiTheme="majorHAnsi" w:hAnsiTheme="majorHAnsi" w:eastAsiaTheme="majorEastAsia" w:cstheme="majorBidi"/>
      <w:b/>
      <w:bCs/>
      <w:sz w:val="32"/>
      <w:szCs w:val="32"/>
    </w:rPr>
  </w:style>
  <w:style w:type="character" w:styleId="943" w:customStyle="1">
    <w:name w:val="标题 3 字符"/>
    <w:basedOn w:val="740"/>
    <w:link w:val="733"/>
    <w:uiPriority w:val="9"/>
    <w:qFormat/>
    <w:rPr>
      <w:b/>
      <w:bCs/>
      <w:sz w:val="32"/>
      <w:szCs w:val="32"/>
    </w:rPr>
  </w:style>
  <w:style w:type="character" w:styleId="944" w:customStyle="1">
    <w:name w:val="日期 字符"/>
    <w:basedOn w:val="740"/>
    <w:link w:val="753"/>
    <w:uiPriority w:val="99"/>
    <w:semiHidden/>
    <w:qFormat/>
  </w:style>
  <w:style w:type="character" w:styleId="945" w:customStyle="1">
    <w:name w:val="批注文字 字符"/>
    <w:basedOn w:val="740"/>
    <w:link w:val="746"/>
    <w:uiPriority w:val="0"/>
    <w:qFormat/>
    <w:rPr>
      <w:rFonts w:ascii="Times New Roman" w:hAnsi="Times New Roman" w:eastAsia="宋体" w:cs="Times New Roman"/>
      <w:color w:val="ff0000"/>
      <w:sz w:val="21"/>
      <w:szCs w:val="24"/>
    </w:rPr>
  </w:style>
  <w:style w:type="character" w:styleId="946" w:customStyle="1">
    <w:name w:val="批注框文本 字符"/>
    <w:basedOn w:val="740"/>
    <w:link w:val="755"/>
    <w:uiPriority w:val="99"/>
    <w:semiHidden/>
    <w:qFormat/>
    <w:rPr>
      <w:sz w:val="18"/>
      <w:szCs w:val="18"/>
    </w:rPr>
  </w:style>
  <w:style w:type="paragraph" w:styleId="947" w:customStyle="1">
    <w:name w:val="Table Text"/>
    <w:basedOn w:val="730"/>
    <w:uiPriority w:val="0"/>
    <w:semiHidden/>
    <w:qFormat/>
    <w:rPr>
      <w:rFonts w:ascii="宋体" w:hAnsi="宋体" w:eastAsia="宋体" w:cs="宋体"/>
      <w:sz w:val="24"/>
      <w:szCs w:val="24"/>
      <w:lang w:eastAsia="en-US"/>
    </w:rPr>
  </w:style>
  <w:style w:type="character" w:styleId="948" w:customStyle="1">
    <w:name w:val="font31"/>
    <w:basedOn w:val="740"/>
    <w:uiPriority w:val="0"/>
    <w:qFormat/>
    <w:rPr>
      <w:rFonts w:hint="eastAsia" w:ascii="宋体" w:hAnsi="宋体" w:eastAsia="宋体" w:cs="宋体"/>
      <w:color w:val="000000"/>
      <w:sz w:val="18"/>
      <w:szCs w:val="18"/>
      <w:u w:val="none"/>
    </w:rPr>
  </w:style>
  <w:style w:type="character" w:styleId="949" w:customStyle="1">
    <w:name w:val="font41"/>
    <w:basedOn w:val="740"/>
    <w:uiPriority w:val="0"/>
    <w:qFormat/>
    <w:rPr>
      <w:rFonts w:ascii="Calibri" w:hAnsi="Calibri" w:cs="Calibri"/>
      <w:color w:val="000000"/>
      <w:sz w:val="18"/>
      <w:szCs w:val="18"/>
      <w:u w:val="none"/>
    </w:rPr>
  </w:style>
  <w:style w:type="character" w:styleId="950" w:customStyle="1">
    <w:name w:val="font11"/>
    <w:basedOn w:val="740"/>
    <w:uiPriority w:val="0"/>
    <w:qFormat/>
    <w:rPr>
      <w:rFonts w:hint="eastAsia" w:ascii="宋体" w:hAnsi="宋体" w:eastAsia="宋体" w:cs="宋体"/>
      <w:color w:val="000000"/>
      <w:sz w:val="18"/>
      <w:szCs w:val="18"/>
      <w:u w:val="none"/>
    </w:rPr>
  </w:style>
  <w:style w:type="character" w:styleId="951" w:customStyle="1">
    <w:name w:val="批注主题 字符"/>
    <w:basedOn w:val="945"/>
    <w:link w:val="769"/>
    <w:uiPriority w:val="99"/>
    <w:semiHidden/>
    <w:qFormat/>
    <w:rPr>
      <w:rFonts w:ascii="Times New Roman" w:hAnsi="Times New Roman" w:eastAsia="宋体" w:cs="Times New Roman"/>
      <w:b/>
      <w:bCs/>
      <w:color w:val="ff0000"/>
      <w:sz w:val="21"/>
      <w:szCs w:val="22"/>
    </w:rPr>
  </w:style>
  <w:style w:type="character" w:styleId="952" w:customStyle="1">
    <w:name w:val="Default Char"/>
    <w:link w:val="788"/>
    <w:uiPriority w:val="99"/>
    <w:qFormat/>
    <w:rPr>
      <w:rFonts w:ascii="MS Mincho" w:hAnsi="Calibri" w:eastAsia="宋体" w:cs="Times New Roman"/>
      <w:color w:val="000000"/>
      <w:sz w:val="21"/>
      <w:szCs w:val="24"/>
    </w:rPr>
  </w:style>
  <w:style w:type="character" w:styleId="953" w:customStyle="1">
    <w:name w:val="正文文本 字符"/>
    <w:basedOn w:val="740"/>
    <w:link w:val="747"/>
    <w:uiPriority w:val="0"/>
    <w:qFormat/>
    <w:rPr>
      <w:rFonts w:ascii="Calibri" w:hAnsi="Calibri" w:eastAsia="宋体" w:cs="Times New Roman"/>
      <w:sz w:val="21"/>
      <w:szCs w:val="22"/>
    </w:rPr>
  </w:style>
  <w:style w:type="character" w:styleId="954" w:customStyle="1">
    <w:name w:val="正文文本缩进 字符"/>
    <w:basedOn w:val="740"/>
    <w:link w:val="748"/>
    <w:uiPriority w:val="0"/>
    <w:qFormat/>
    <w:rPr>
      <w:rFonts w:ascii="Times New Roman" w:hAnsi="Times New Roman" w:eastAsia="宋体" w:cs="Times New Roman"/>
      <w:sz w:val="21"/>
      <w:szCs w:val="24"/>
    </w:rPr>
  </w:style>
  <w:style w:type="character" w:styleId="955" w:customStyle="1">
    <w:name w:val="纯文本 字符"/>
    <w:basedOn w:val="740"/>
    <w:link w:val="751"/>
    <w:uiPriority w:val="0"/>
    <w:qFormat/>
    <w:rPr>
      <w:rFonts w:ascii="宋体" w:hAnsi="Courier New" w:eastAsia="宋体" w:cs="Courier New"/>
      <w:sz w:val="21"/>
      <w:szCs w:val="21"/>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57" w:customStyle="1">
    <w:name w:val="列出段落1"/>
    <w:basedOn w:val="730"/>
    <w:uiPriority w:val="0"/>
    <w:qFormat/>
    <w:pPr>
      <w:ind w:firstLine="420"/>
    </w:pPr>
    <w:rPr>
      <w:rFonts w:ascii="Times New Roman" w:hAnsi="Times New Roman" w:eastAsia="宋体" w:cs="Times New Roman"/>
      <w:szCs w:val="21"/>
    </w:rPr>
  </w:style>
  <w:style w:type="table" w:styleId="958" w:customStyle="1">
    <w:name w:val="网格型1"/>
    <w:basedOn w:val="959"/>
    <w:uiPriority w:val="59"/>
    <w:qFormat/>
    <w:tblPr/>
  </w:style>
  <w:style w:type="table" w:styleId="959" w:customStyle="1">
    <w:name w:val="普通表格1"/>
    <w:uiPriority w:val="99"/>
    <w:unhideWhenUsed/>
    <w:qFormat/>
    <w:tblPr/>
  </w:style>
  <w:style w:type="paragraph" w:styleId="960" w:customStyle="1">
    <w:name w:val="正文文本1"/>
    <w:basedOn w:val="730"/>
    <w:next w:val="730"/>
    <w:uiPriority w:val="0"/>
    <w:qFormat/>
    <w:rPr>
      <w:rFonts w:ascii="楷体_GB2312" w:hAnsi="Arial" w:eastAsia="楷体_GB2312" w:cs="Times New Roman"/>
      <w:sz w:val="28"/>
      <w:szCs w:val="28"/>
    </w:rPr>
  </w:style>
  <w:style w:type="paragraph" w:styleId="961" w:customStyle="1">
    <w:name w:val="普通正文"/>
    <w:basedOn w:val="730"/>
    <w:uiPriority w:val="0"/>
    <w:qFormat/>
    <w:pPr>
      <w:ind w:firstLine="480"/>
      <w:jc w:val="left"/>
      <w:spacing w:before="120" w:after="120" w:line="360" w:lineRule="auto"/>
    </w:pPr>
    <w:rPr>
      <w:rFonts w:ascii="Arial" w:hAnsi="Arial"/>
      <w:sz w:val="24"/>
      <w:szCs w:val="24"/>
    </w:rPr>
  </w:style>
  <w:style w:type="character" w:styleId="962" w:customStyle="1">
    <w:name w:val="hover"/>
    <w:basedOn w:val="740"/>
    <w:uiPriority w:val="0"/>
    <w:qFormat/>
    <w:rPr>
      <w:color w:val="5fb878"/>
    </w:rPr>
  </w:style>
  <w:style w:type="character" w:styleId="963" w:customStyle="1">
    <w:name w:val="hover1"/>
    <w:basedOn w:val="740"/>
    <w:uiPriority w:val="0"/>
    <w:qFormat/>
    <w:rPr>
      <w:color w:val="ffffff"/>
    </w:rPr>
  </w:style>
  <w:style w:type="character" w:styleId="964" w:customStyle="1">
    <w:name w:val="hover2"/>
    <w:basedOn w:val="740"/>
    <w:uiPriority w:val="0"/>
    <w:qFormat/>
    <w:rPr>
      <w:color w:val="5fb878"/>
    </w:rPr>
  </w:style>
  <w:style w:type="paragraph" w:styleId="965" w:customStyle="1">
    <w:name w:val="正文文字 6"/>
    <w:next w:val="730"/>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66" w:customStyle="1">
    <w:name w:val="标题 41"/>
    <w:next w:val="967"/>
    <w:uiPriority w:val="0"/>
    <w:qFormat/>
    <w:pPr>
      <w:jc w:val="both"/>
      <w:keepLines/>
      <w:keepNext/>
      <w:spacing w:before="280" w:after="290" w:line="376" w:lineRule="auto"/>
      <w:widowControl w:val="off"/>
      <w:outlineLvl w:val="3"/>
    </w:pPr>
    <w:rPr>
      <w:rFonts w:hint="default" w:ascii="Arial" w:hAnsi="Arial" w:eastAsia="黑体" w:cs="Arial"/>
      <w:b/>
      <w:bCs/>
      <w:sz w:val="28"/>
      <w:szCs w:val="28"/>
      <w:lang w:val="en-US" w:eastAsia="zh-CN" w:bidi="ar-SA"/>
    </w:rPr>
  </w:style>
  <w:style w:type="paragraph" w:styleId="967" w:customStyle="1">
    <w:name w:val="正文缩进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968" w:customStyle="1">
    <w:name w:val="正文首行缩进 211"/>
    <w:uiPriority w:val="0"/>
    <w:qFormat/>
    <w:pPr>
      <w:ind w:left="420" w:firstLine="420"/>
      <w:jc w:val="both"/>
      <w:spacing w:after="120"/>
      <w:widowControl w:val="off"/>
      <w:tabs>
        <w:tab w:val="left" w:pos="525" w:leader="none"/>
        <w:tab w:val="left" w:pos="4320" w:leader="none"/>
      </w:tabs>
    </w:pPr>
    <w:rPr>
      <w:rFonts w:hint="default" w:ascii="Times New Roman" w:hAnsi="Times New Roman" w:eastAsia="宋体" w:cs="Times New Roman"/>
      <w:sz w:val="21"/>
      <w:szCs w:val="21"/>
      <w:lang w:val="en-US" w:eastAsia="zh-CN" w:bidi="ar-SA"/>
    </w:rPr>
  </w:style>
  <w:style w:type="paragraph" w:styleId="969" w:customStyle="1">
    <w:name w:val="正文文本缩进11"/>
    <w:next w:val="970"/>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970" w:customStyle="1">
    <w:name w:val="寄信人地址1"/>
    <w:uiPriority w:val="99"/>
    <w:qFormat/>
    <w:pPr>
      <w:jc w:val="both"/>
      <w:widowControl w:val="off"/>
    </w:pPr>
    <w:rPr>
      <w:rFonts w:hint="default" w:ascii="Arial" w:hAnsi="Arial" w:eastAsia="宋体" w:cs="Arial"/>
      <w:sz w:val="21"/>
      <w:szCs w:val="21"/>
      <w:lang w:val="en-US" w:eastAsia="zh-CN" w:bidi="ar-SA"/>
    </w:rPr>
  </w:style>
  <w:style w:type="character" w:styleId="971" w:customStyle="1">
    <w:name w:val="NormalCharacter1"/>
    <w:link w:val="730"/>
    <w:uiPriority w:val="0"/>
    <w:semiHidden/>
    <w:qFormat/>
    <w:rPr>
      <w:rFonts w:hint="default" w:asciiTheme="minorHAnsi" w:hAnsiTheme="minorHAnsi" w:eastAsiaTheme="minorEastAsia" w:cstheme="minorBidi"/>
      <w:sz w:val="21"/>
      <w:szCs w:val="22"/>
    </w:rPr>
  </w:style>
  <w:style w:type="paragraph" w:styleId="972" w:customStyle="1">
    <w:name w:val="正文1"/>
    <w:uiPriority w:val="99"/>
    <w:qFormat/>
    <w:pPr>
      <w:jc w:val="both"/>
      <w:widowControl w:val="off"/>
    </w:pPr>
    <w:rPr>
      <w:rFonts w:ascii="Calibri" w:hAnsi="Calibri" w:eastAsia="宋体" w:cs="Calibri"/>
      <w:lang w:val="en-US" w:eastAsia="zh-CN" w:bidi="ar-SA"/>
    </w:rPr>
  </w:style>
  <w:style w:type="character" w:styleId="973" w:customStyle="1">
    <w:name w:val="font91"/>
    <w:basedOn w:val="740"/>
    <w:uiPriority w:val="0"/>
    <w:qFormat/>
    <w:rPr>
      <w:rFonts w:hint="eastAsia" w:ascii="宋体" w:hAnsi="宋体" w:eastAsia="宋体" w:cs="宋体"/>
      <w:color w:val="ff0000"/>
      <w:sz w:val="18"/>
      <w:szCs w:val="18"/>
      <w:u w:val="none"/>
    </w:rPr>
  </w:style>
  <w:style w:type="character" w:styleId="974" w:customStyle="1">
    <w:name w:val="font81"/>
    <w:basedOn w:val="740"/>
    <w:uiPriority w:val="0"/>
    <w:qFormat/>
    <w:rPr>
      <w:rFonts w:hint="eastAsia" w:ascii="宋体" w:hAnsi="宋体" w:eastAsia="宋体" w:cs="宋体"/>
      <w:color w:val="ff0000"/>
      <w:sz w:val="18"/>
      <w:szCs w:val="18"/>
      <w:u w:val="none"/>
    </w:rPr>
  </w:style>
  <w:style w:type="character" w:styleId="975" w:customStyle="1">
    <w:name w:val="font61"/>
    <w:basedOn w:val="740"/>
    <w:uiPriority w:val="0"/>
    <w:qFormat/>
    <w:rPr>
      <w:rFonts w:ascii="Arial" w:hAnsi="Arial" w:cs="Arial"/>
      <w:color w:val="000000"/>
      <w:sz w:val="18"/>
      <w:szCs w:val="18"/>
      <w:u w:val="none"/>
    </w:rPr>
  </w:style>
  <w:style w:type="paragraph" w:styleId="976" w:customStyle="1">
    <w:name w:val="正文文本缩进1"/>
    <w:basedOn w:val="730"/>
    <w:next w:val="730"/>
    <w:uiPriority w:val="0"/>
    <w:qFormat/>
    <w:pPr>
      <w:ind w:firstLine="645"/>
    </w:pPr>
    <w:rPr>
      <w:rFonts w:ascii="楷体_GB2312" w:eastAsia="楷体_GB2312"/>
      <w:sz w:val="32"/>
      <w:szCs w:val="20"/>
    </w:rPr>
  </w:style>
  <w:style w:type="paragraph" w:styleId="977" w:customStyle="1">
    <w:name w:val="样式 标题 2 + 黑色 行距: 1.5 倍行距"/>
    <w:basedOn w:val="732"/>
    <w:uiPriority w:val="0"/>
    <w:qFormat/>
    <w:pPr>
      <w:spacing w:line="360" w:lineRule="auto"/>
    </w:pPr>
    <w:rPr>
      <w:rFonts w:eastAsia="宋体" w:cs="宋体"/>
      <w:color w:val="000000"/>
      <w:szCs w:val="20"/>
    </w:rPr>
  </w:style>
  <w:style w:type="character" w:styleId="978" w:customStyle="1">
    <w:name w:val="font71"/>
    <w:basedOn w:val="740"/>
    <w:uiPriority w:val="0"/>
    <w:qFormat/>
    <w:rPr>
      <w:rFonts w:hint="default" w:ascii="Times New Roman" w:hAnsi="Times New Roman" w:cs="Times New Roman"/>
      <w:color w:val="000000"/>
      <w:sz w:val="18"/>
      <w:szCs w:val="18"/>
      <w:u w:val="none"/>
    </w:rPr>
  </w:style>
  <w:style w:type="character" w:styleId="979" w:customStyle="1">
    <w:name w:val="font51"/>
    <w:basedOn w:val="740"/>
    <w:uiPriority w:val="0"/>
    <w:qFormat/>
    <w:rPr>
      <w:rFonts w:hint="eastAsia" w:ascii="宋体" w:hAnsi="宋体" w:eastAsia="宋体" w:cs="宋体"/>
      <w:color w:val="000000"/>
      <w:sz w:val="18"/>
      <w:szCs w:val="18"/>
      <w:u w:val="none"/>
    </w:rPr>
  </w:style>
  <w:style w:type="character" w:styleId="980" w:customStyle="1">
    <w:name w:val="font101"/>
    <w:basedOn w:val="740"/>
    <w:uiPriority w:val="0"/>
    <w:qFormat/>
    <w:rPr>
      <w:rFonts w:hint="eastAsia" w:ascii="宋体" w:hAnsi="宋体" w:eastAsia="宋体" w:cs="宋体"/>
      <w:color w:val="000000"/>
      <w:sz w:val="21"/>
      <w:szCs w:val="21"/>
      <w:u w:val="none"/>
    </w:rPr>
  </w:style>
  <w:style w:type="character" w:styleId="981" w:customStyle="1">
    <w:name w:val="font111"/>
    <w:basedOn w:val="740"/>
    <w:uiPriority w:val="0"/>
    <w:qFormat/>
    <w:rPr>
      <w:rFonts w:hint="eastAsia" w:ascii="宋体" w:hAnsi="宋体" w:eastAsia="宋体" w:cs="宋体"/>
      <w:color w:val="000000"/>
      <w:sz w:val="21"/>
      <w:szCs w:val="21"/>
      <w:u w:val="none"/>
    </w:rPr>
  </w:style>
  <w:style w:type="character" w:styleId="982" w:customStyle="1">
    <w:name w:val="font112"/>
    <w:basedOn w:val="740"/>
    <w:uiPriority w:val="0"/>
    <w:qFormat/>
    <w:rPr>
      <w:rFonts w:hint="default" w:ascii="Times New Roman" w:hAnsi="Times New Roman" w:cs="Times New Roman"/>
      <w:color w:val="000000"/>
      <w:sz w:val="18"/>
      <w:szCs w:val="18"/>
      <w:u w:val="none"/>
    </w:rPr>
  </w:style>
  <w:style w:type="character" w:styleId="983" w:customStyle="1">
    <w:name w:val="font21"/>
    <w:basedOn w:val="740"/>
    <w:uiPriority w:val="0"/>
    <w:qFormat/>
    <w:rPr>
      <w:rFonts w:hint="eastAsia" w:ascii="宋体" w:hAnsi="宋体" w:eastAsia="宋体" w:cs="宋体"/>
      <w:color w:val="000000"/>
      <w:sz w:val="18"/>
      <w:szCs w:val="18"/>
      <w:u w:val="none"/>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邢欢</cp:lastModifiedBy>
  <cp:revision>9</cp:revision>
  <dcterms:created xsi:type="dcterms:W3CDTF">2024-05-21T01:33:00Z</dcterms:created>
  <dcterms:modified xsi:type="dcterms:W3CDTF">2026-05-26T10:40:56Z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9E52A5072C2D4D2887262732A85EF5B8_13</vt:lpwstr>
  </property>
  <property fmtid="{D5CDD505-2E9C-101B-9397-08002B2CF9AE}" pid="4" name="KSOTemplateDocerSaveRecord">
    <vt:lpwstr>eyJoZGlkIjoiMjA1NzY5NTRmYWFjZjFiMWVhNDJjMTYyYzc2MGNkZGEiLCJ1c2VySWQiOiI3MTk4ODYzMDgifQ==</vt:lpwstr>
  </property>
</Properties>
</file>